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B2CADE">
      <w:pPr>
        <w:adjustRightInd w:val="0"/>
        <w:snapToGrid w:val="0"/>
        <w:spacing w:line="276" w:lineRule="auto"/>
        <w:rPr>
          <w:rFonts w:ascii="仿宋" w:hAnsi="仿宋" w:eastAsia="仿宋"/>
          <w:sz w:val="30"/>
          <w:szCs w:val="30"/>
        </w:rPr>
      </w:pPr>
    </w:p>
    <w:p w14:paraId="2B896B7B">
      <w:pPr>
        <w:adjustRightInd w:val="0"/>
        <w:snapToGrid w:val="0"/>
        <w:spacing w:line="276" w:lineRule="auto"/>
        <w:rPr>
          <w:rFonts w:ascii="仿宋" w:hAnsi="仿宋" w:eastAsia="仿宋"/>
          <w:sz w:val="30"/>
          <w:szCs w:val="30"/>
        </w:rPr>
      </w:pPr>
    </w:p>
    <w:p w14:paraId="4AB6B5E3">
      <w:pPr>
        <w:adjustRightInd w:val="0"/>
        <w:snapToGrid w:val="0"/>
        <w:spacing w:line="276" w:lineRule="auto"/>
        <w:rPr>
          <w:rFonts w:ascii="仿宋" w:hAnsi="仿宋" w:eastAsia="仿宋"/>
          <w:sz w:val="30"/>
          <w:szCs w:val="30"/>
        </w:rPr>
      </w:pPr>
    </w:p>
    <w:p w14:paraId="7CDABF28">
      <w:pPr>
        <w:adjustRightInd w:val="0"/>
        <w:snapToGrid w:val="0"/>
        <w:spacing w:line="276" w:lineRule="auto"/>
        <w:rPr>
          <w:rFonts w:ascii="仿宋" w:hAnsi="仿宋" w:eastAsia="仿宋"/>
          <w:sz w:val="30"/>
          <w:szCs w:val="30"/>
        </w:rPr>
      </w:pPr>
    </w:p>
    <w:p w14:paraId="4576F856">
      <w:pPr>
        <w:jc w:val="center"/>
        <w:rPr>
          <w:rFonts w:ascii="黑体" w:hAnsi="黑体" w:eastAsia="黑体" w:cs="Times New Roman"/>
          <w:b/>
          <w:bCs/>
          <w:kern w:val="44"/>
          <w:sz w:val="44"/>
          <w:szCs w:val="44"/>
        </w:rPr>
      </w:pPr>
      <w:r>
        <w:rPr>
          <w:rFonts w:ascii="黑体" w:hAnsi="黑体" w:eastAsia="黑体" w:cs="Times New Roman"/>
          <w:b/>
          <w:bCs/>
          <w:kern w:val="44"/>
          <w:sz w:val="44"/>
          <w:szCs w:val="44"/>
        </w:rPr>
        <w:t>《</w:t>
      </w:r>
      <w:r>
        <w:rPr>
          <w:rFonts w:hint="eastAsia" w:ascii="黑体" w:hAnsi="黑体" w:eastAsia="黑体" w:cs="Times New Roman"/>
          <w:b/>
          <w:bCs/>
          <w:kern w:val="44"/>
          <w:sz w:val="44"/>
          <w:szCs w:val="44"/>
        </w:rPr>
        <w:t>国家一、二等水准测量规范</w:t>
      </w:r>
      <w:r>
        <w:rPr>
          <w:rFonts w:ascii="黑体" w:hAnsi="黑体" w:eastAsia="黑体" w:cs="Times New Roman"/>
          <w:b/>
          <w:bCs/>
          <w:kern w:val="44"/>
          <w:sz w:val="44"/>
          <w:szCs w:val="44"/>
        </w:rPr>
        <w:t>》</w:t>
      </w:r>
    </w:p>
    <w:p w14:paraId="59E0E5C2">
      <w:pPr>
        <w:jc w:val="center"/>
        <w:rPr>
          <w:rFonts w:ascii="黑体" w:hAnsi="黑体" w:eastAsia="黑体" w:cs="Times New Roman"/>
          <w:b/>
          <w:bCs/>
          <w:kern w:val="44"/>
          <w:sz w:val="44"/>
          <w:szCs w:val="44"/>
        </w:rPr>
      </w:pPr>
      <w:r>
        <w:rPr>
          <w:rFonts w:ascii="黑体" w:hAnsi="黑体" w:eastAsia="黑体" w:cs="Times New Roman"/>
          <w:b/>
          <w:bCs/>
          <w:kern w:val="44"/>
          <w:sz w:val="44"/>
          <w:szCs w:val="44"/>
        </w:rPr>
        <w:t>编制说明</w:t>
      </w:r>
    </w:p>
    <w:p w14:paraId="44AD5866">
      <w:pPr>
        <w:adjustRightInd w:val="0"/>
        <w:snapToGrid w:val="0"/>
        <w:spacing w:line="276" w:lineRule="auto"/>
        <w:rPr>
          <w:rFonts w:ascii="仿宋" w:hAnsi="仿宋" w:eastAsia="仿宋" w:cs="Times New Roman"/>
          <w:sz w:val="30"/>
          <w:szCs w:val="30"/>
        </w:rPr>
      </w:pPr>
    </w:p>
    <w:p w14:paraId="22B7AEDE">
      <w:pPr>
        <w:adjustRightInd w:val="0"/>
        <w:snapToGrid w:val="0"/>
        <w:spacing w:line="276" w:lineRule="auto"/>
        <w:rPr>
          <w:rFonts w:ascii="仿宋" w:hAnsi="仿宋" w:eastAsia="仿宋" w:cs="Times New Roman"/>
          <w:sz w:val="30"/>
          <w:szCs w:val="30"/>
        </w:rPr>
      </w:pPr>
    </w:p>
    <w:p w14:paraId="22A1C683">
      <w:pPr>
        <w:adjustRightInd w:val="0"/>
        <w:snapToGrid w:val="0"/>
        <w:spacing w:line="276" w:lineRule="auto"/>
        <w:rPr>
          <w:rFonts w:ascii="仿宋" w:hAnsi="仿宋" w:eastAsia="仿宋" w:cs="Times New Roman"/>
          <w:sz w:val="30"/>
          <w:szCs w:val="30"/>
        </w:rPr>
      </w:pPr>
    </w:p>
    <w:p w14:paraId="4086E2FC">
      <w:pPr>
        <w:adjustRightInd w:val="0"/>
        <w:snapToGrid w:val="0"/>
        <w:spacing w:line="276" w:lineRule="auto"/>
        <w:rPr>
          <w:rFonts w:ascii="仿宋" w:hAnsi="仿宋" w:eastAsia="仿宋" w:cs="Times New Roman"/>
          <w:sz w:val="30"/>
          <w:szCs w:val="30"/>
        </w:rPr>
      </w:pPr>
    </w:p>
    <w:p w14:paraId="0D749B7D">
      <w:pPr>
        <w:adjustRightInd w:val="0"/>
        <w:snapToGrid w:val="0"/>
        <w:spacing w:line="276" w:lineRule="auto"/>
        <w:rPr>
          <w:rFonts w:ascii="仿宋" w:hAnsi="仿宋" w:eastAsia="仿宋" w:cs="Times New Roman"/>
          <w:sz w:val="30"/>
          <w:szCs w:val="30"/>
        </w:rPr>
      </w:pPr>
    </w:p>
    <w:p w14:paraId="5CC1B93D">
      <w:pPr>
        <w:adjustRightInd w:val="0"/>
        <w:snapToGrid w:val="0"/>
        <w:spacing w:after="312" w:afterLines="100" w:line="276" w:lineRule="auto"/>
        <w:ind w:firstLine="606" w:firstLineChars="202"/>
        <w:rPr>
          <w:rFonts w:ascii="仿宋" w:hAnsi="仿宋" w:eastAsia="仿宋" w:cs="Times New Roman"/>
          <w:sz w:val="30"/>
          <w:szCs w:val="30"/>
        </w:rPr>
      </w:pPr>
      <w:r>
        <w:rPr>
          <w:rFonts w:ascii="仿宋" w:hAnsi="仿宋" w:eastAsia="仿宋" w:cs="Times New Roman"/>
          <w:sz w:val="30"/>
          <w:szCs w:val="30"/>
        </w:rPr>
        <w:t>国家标准项目名称：</w:t>
      </w:r>
      <w:r>
        <w:rPr>
          <w:rFonts w:ascii="仿宋" w:hAnsi="仿宋" w:eastAsia="仿宋" w:cs="Times New Roman"/>
          <w:sz w:val="30"/>
          <w:szCs w:val="30"/>
          <w:u w:val="single"/>
        </w:rPr>
        <w:t xml:space="preserve">    </w:t>
      </w:r>
      <w:r>
        <w:rPr>
          <w:rFonts w:hint="eastAsia" w:ascii="仿宋" w:hAnsi="仿宋" w:eastAsia="仿宋" w:cs="Times New Roman"/>
          <w:sz w:val="30"/>
          <w:szCs w:val="30"/>
          <w:u w:val="single"/>
        </w:rPr>
        <w:t xml:space="preserve">  </w:t>
      </w:r>
      <w:r>
        <w:rPr>
          <w:rFonts w:hint="eastAsia" w:ascii="Times New Roman" w:hAnsi="Times New Roman" w:eastAsia="仿宋" w:cs="Times New Roman"/>
          <w:bCs/>
          <w:sz w:val="28"/>
          <w:szCs w:val="28"/>
          <w:u w:val="single"/>
          <w:lang w:val="en-US" w:eastAsia="zh-CN"/>
        </w:rPr>
        <w:t>国家一、二等水准测量规范</w:t>
      </w:r>
      <w:r>
        <w:rPr>
          <w:rFonts w:hint="eastAsia" w:ascii="仿宋" w:hAnsi="仿宋" w:eastAsia="仿宋" w:cs="Times New Roman"/>
          <w:sz w:val="30"/>
          <w:szCs w:val="30"/>
          <w:u w:val="single"/>
        </w:rPr>
        <w:t xml:space="preserve">        </w:t>
      </w:r>
      <w:r>
        <w:rPr>
          <w:rFonts w:ascii="仿宋" w:hAnsi="仿宋" w:eastAsia="仿宋" w:cs="Times New Roman"/>
          <w:sz w:val="30"/>
          <w:szCs w:val="30"/>
          <w:u w:val="single"/>
        </w:rPr>
        <w:t xml:space="preserve"> </w:t>
      </w:r>
    </w:p>
    <w:p w14:paraId="719E415C">
      <w:pPr>
        <w:adjustRightInd w:val="0"/>
        <w:snapToGrid w:val="0"/>
        <w:spacing w:after="312" w:afterLines="100" w:line="276" w:lineRule="auto"/>
        <w:ind w:firstLine="606" w:firstLineChars="202"/>
        <w:rPr>
          <w:rFonts w:ascii="仿宋" w:hAnsi="仿宋" w:eastAsia="仿宋" w:cs="Times New Roman"/>
          <w:sz w:val="30"/>
          <w:szCs w:val="30"/>
        </w:rPr>
      </w:pPr>
      <w:r>
        <w:rPr>
          <w:rFonts w:ascii="仿宋" w:hAnsi="仿宋" w:eastAsia="仿宋" w:cs="Times New Roman"/>
          <w:sz w:val="30"/>
          <w:szCs w:val="30"/>
        </w:rPr>
        <w:t>国家标准项目编号：</w:t>
      </w:r>
      <w:r>
        <w:rPr>
          <w:rFonts w:ascii="仿宋" w:hAnsi="仿宋" w:eastAsia="仿宋" w:cs="Times New Roman"/>
          <w:sz w:val="30"/>
          <w:szCs w:val="30"/>
          <w:u w:val="single"/>
        </w:rPr>
        <w:t xml:space="preserve">           </w:t>
      </w:r>
      <w:r>
        <w:rPr>
          <w:rFonts w:hint="eastAsia" w:ascii="仿宋" w:hAnsi="仿宋" w:eastAsia="仿宋" w:cs="Times New Roman"/>
          <w:sz w:val="30"/>
          <w:szCs w:val="30"/>
          <w:u w:val="single"/>
        </w:rPr>
        <w:t>20241595-T-466</w:t>
      </w:r>
      <w:r>
        <w:rPr>
          <w:rFonts w:hint="eastAsia" w:ascii="宋体" w:hAnsi="宋体" w:eastAsia="宋体" w:cs="Times New Roman"/>
          <w:sz w:val="32"/>
          <w:szCs w:val="32"/>
          <w:u w:val="single"/>
        </w:rPr>
        <w:t xml:space="preserve">  </w:t>
      </w:r>
      <w:r>
        <w:rPr>
          <w:rFonts w:ascii="宋体" w:hAnsi="宋体" w:eastAsia="宋体" w:cs="Times New Roman"/>
          <w:sz w:val="32"/>
          <w:szCs w:val="32"/>
          <w:u w:val="single"/>
        </w:rPr>
        <w:t xml:space="preserve"> </w:t>
      </w:r>
      <w:r>
        <w:rPr>
          <w:rFonts w:ascii="仿宋" w:hAnsi="仿宋" w:eastAsia="仿宋" w:cs="Times New Roman"/>
          <w:sz w:val="30"/>
          <w:szCs w:val="30"/>
          <w:u w:val="single"/>
        </w:rPr>
        <w:t xml:space="preserve">    </w:t>
      </w:r>
      <w:r>
        <w:rPr>
          <w:rFonts w:hint="eastAsia" w:ascii="仿宋" w:hAnsi="仿宋" w:eastAsia="仿宋" w:cs="Times New Roman"/>
          <w:sz w:val="30"/>
          <w:szCs w:val="30"/>
          <w:u w:val="single"/>
          <w:lang w:val="en-US" w:eastAsia="zh-CN"/>
        </w:rPr>
        <w:t xml:space="preserve">  </w:t>
      </w:r>
      <w:r>
        <w:rPr>
          <w:rFonts w:ascii="仿宋" w:hAnsi="仿宋" w:eastAsia="仿宋" w:cs="Times New Roman"/>
          <w:sz w:val="30"/>
          <w:szCs w:val="30"/>
          <w:u w:val="single"/>
        </w:rPr>
        <w:t xml:space="preserve">   </w:t>
      </w:r>
    </w:p>
    <w:p w14:paraId="12F7FB60">
      <w:pPr>
        <w:ind w:firstLine="565" w:firstLineChars="202"/>
        <w:rPr>
          <w:rFonts w:eastAsia="仿宋"/>
          <w:sz w:val="28"/>
          <w:szCs w:val="28"/>
          <w:u w:val="single"/>
        </w:rPr>
      </w:pPr>
      <w:r>
        <w:rPr>
          <w:rFonts w:eastAsia="仿宋"/>
          <w:sz w:val="28"/>
          <w:szCs w:val="28"/>
        </w:rPr>
        <w:t>送审国家标准名称：</w:t>
      </w:r>
      <w:r>
        <w:rPr>
          <w:rFonts w:eastAsia="仿宋"/>
          <w:sz w:val="28"/>
          <w:szCs w:val="28"/>
          <w:u w:val="single"/>
        </w:rPr>
        <w:t xml:space="preserve">            </w:t>
      </w:r>
      <w:r>
        <w:rPr>
          <w:rFonts w:hint="eastAsia" w:eastAsia="仿宋"/>
          <w:b/>
          <w:sz w:val="28"/>
          <w:szCs w:val="28"/>
          <w:u w:val="single"/>
        </w:rPr>
        <w:t xml:space="preserve">      </w:t>
      </w:r>
      <w:r>
        <w:rPr>
          <w:rFonts w:hint="eastAsia" w:eastAsia="仿宋"/>
          <w:b/>
          <w:sz w:val="28"/>
          <w:szCs w:val="28"/>
          <w:u w:val="single"/>
          <w:lang w:val="en-US" w:eastAsia="zh-CN"/>
        </w:rPr>
        <w:t xml:space="preserve">                        </w:t>
      </w:r>
    </w:p>
    <w:p w14:paraId="6A4F0C88">
      <w:pPr>
        <w:ind w:firstLine="565" w:firstLineChars="202"/>
        <w:rPr>
          <w:rFonts w:eastAsia="仿宋"/>
          <w:sz w:val="28"/>
          <w:szCs w:val="28"/>
        </w:rPr>
      </w:pPr>
      <w:r>
        <w:rPr>
          <w:rFonts w:eastAsia="仿宋"/>
          <w:sz w:val="28"/>
          <w:szCs w:val="28"/>
        </w:rPr>
        <w:t>（此栏送审时填写）</w:t>
      </w:r>
    </w:p>
    <w:p w14:paraId="62FFC8A2">
      <w:pPr>
        <w:ind w:firstLine="565" w:firstLineChars="202"/>
        <w:rPr>
          <w:rFonts w:eastAsia="仿宋"/>
          <w:sz w:val="28"/>
          <w:szCs w:val="28"/>
          <w:u w:val="single"/>
        </w:rPr>
      </w:pPr>
      <w:r>
        <w:rPr>
          <w:rFonts w:eastAsia="仿宋"/>
          <w:sz w:val="28"/>
          <w:szCs w:val="28"/>
        </w:rPr>
        <w:t>报批国家标准名称：</w:t>
      </w:r>
      <w:r>
        <w:rPr>
          <w:rFonts w:eastAsia="仿宋"/>
          <w:sz w:val="28"/>
          <w:szCs w:val="28"/>
          <w:u w:val="single"/>
        </w:rPr>
        <w:t xml:space="preserve">    </w:t>
      </w:r>
      <w:r>
        <w:rPr>
          <w:rFonts w:hint="eastAsia" w:eastAsia="仿宋"/>
          <w:sz w:val="28"/>
          <w:szCs w:val="28"/>
          <w:u w:val="single"/>
          <w:lang w:val="en-US" w:eastAsia="zh-CN"/>
        </w:rPr>
        <w:t xml:space="preserve">                         </w:t>
      </w:r>
      <w:r>
        <w:rPr>
          <w:rFonts w:eastAsia="仿宋"/>
          <w:sz w:val="28"/>
          <w:szCs w:val="28"/>
          <w:u w:val="single"/>
        </w:rPr>
        <w:t xml:space="preserve">   </w:t>
      </w:r>
      <w:r>
        <w:rPr>
          <w:rFonts w:hint="eastAsia" w:eastAsia="仿宋"/>
          <w:b/>
          <w:sz w:val="28"/>
          <w:szCs w:val="28"/>
          <w:u w:val="single"/>
        </w:rPr>
        <w:t xml:space="preserve">      </w:t>
      </w:r>
      <w:r>
        <w:rPr>
          <w:rFonts w:eastAsia="仿宋"/>
          <w:sz w:val="28"/>
          <w:szCs w:val="28"/>
          <w:u w:val="single"/>
        </w:rPr>
        <w:t xml:space="preserve">    </w:t>
      </w:r>
    </w:p>
    <w:p w14:paraId="60A92F25">
      <w:pPr>
        <w:spacing w:after="312" w:afterLines="100"/>
        <w:ind w:firstLine="565" w:firstLineChars="202"/>
        <w:rPr>
          <w:rFonts w:eastAsia="仿宋"/>
          <w:sz w:val="28"/>
          <w:szCs w:val="28"/>
        </w:rPr>
      </w:pPr>
      <w:r>
        <w:rPr>
          <w:rFonts w:eastAsia="仿宋"/>
          <w:sz w:val="28"/>
          <w:szCs w:val="28"/>
        </w:rPr>
        <w:t>（此栏报批时填写）</w:t>
      </w:r>
    </w:p>
    <w:p w14:paraId="532CA624">
      <w:pPr>
        <w:adjustRightInd w:val="0"/>
        <w:snapToGrid w:val="0"/>
        <w:spacing w:after="312" w:afterLines="100" w:line="276" w:lineRule="auto"/>
        <w:ind w:firstLine="606" w:firstLineChars="202"/>
        <w:rPr>
          <w:rFonts w:ascii="仿宋" w:hAnsi="仿宋" w:eastAsia="仿宋" w:cs="Times New Roman"/>
          <w:sz w:val="30"/>
          <w:szCs w:val="30"/>
        </w:rPr>
      </w:pPr>
      <w:r>
        <w:rPr>
          <w:rFonts w:ascii="仿宋" w:hAnsi="仿宋" w:eastAsia="仿宋" w:cs="Times New Roman"/>
          <w:sz w:val="30"/>
          <w:szCs w:val="30"/>
        </w:rPr>
        <w:t>承担单位：</w:t>
      </w:r>
      <w:r>
        <w:rPr>
          <w:rFonts w:ascii="仿宋" w:hAnsi="仿宋" w:eastAsia="仿宋" w:cs="Times New Roman"/>
          <w:sz w:val="30"/>
          <w:szCs w:val="30"/>
          <w:u w:val="single"/>
        </w:rPr>
        <w:t xml:space="preserve">            </w:t>
      </w:r>
      <w:r>
        <w:rPr>
          <w:rFonts w:hint="eastAsia" w:ascii="仿宋" w:hAnsi="仿宋" w:eastAsia="仿宋" w:cs="Times New Roman"/>
          <w:sz w:val="30"/>
          <w:szCs w:val="30"/>
          <w:u w:val="single"/>
          <w:lang w:eastAsia="zh-CN"/>
        </w:rPr>
        <w:t>自然资源部测绘标准化研究所</w:t>
      </w:r>
      <w:r>
        <w:rPr>
          <w:rFonts w:hint="eastAsia" w:ascii="仿宋" w:hAnsi="仿宋" w:eastAsia="仿宋" w:cs="Times New Roman"/>
          <w:sz w:val="30"/>
          <w:szCs w:val="30"/>
          <w:u w:val="single"/>
        </w:rPr>
        <w:t xml:space="preserve">     </w:t>
      </w:r>
      <w:r>
        <w:rPr>
          <w:rFonts w:ascii="仿宋" w:hAnsi="仿宋" w:eastAsia="仿宋" w:cs="Times New Roman"/>
          <w:sz w:val="30"/>
          <w:szCs w:val="30"/>
          <w:u w:val="single"/>
        </w:rPr>
        <w:t xml:space="preserve">  </w:t>
      </w:r>
    </w:p>
    <w:p w14:paraId="2F6319EB">
      <w:pPr>
        <w:adjustRightInd w:val="0"/>
        <w:snapToGrid w:val="0"/>
        <w:spacing w:after="312" w:afterLines="100" w:line="276" w:lineRule="auto"/>
        <w:ind w:firstLine="606" w:firstLineChars="202"/>
        <w:rPr>
          <w:rFonts w:ascii="仿宋" w:hAnsi="仿宋" w:eastAsia="仿宋" w:cs="Times New Roman"/>
          <w:sz w:val="30"/>
          <w:szCs w:val="30"/>
          <w:u w:val="single"/>
        </w:rPr>
      </w:pPr>
      <w:r>
        <w:rPr>
          <w:rFonts w:ascii="仿宋" w:hAnsi="仿宋" w:eastAsia="仿宋" w:cs="Times New Roman"/>
          <w:sz w:val="30"/>
          <w:szCs w:val="30"/>
        </w:rPr>
        <w:t>当前阶段：</w:t>
      </w:r>
      <w:r>
        <w:rPr>
          <w:rFonts w:ascii="仿宋" w:hAnsi="仿宋" w:eastAsia="仿宋" w:cs="Times New Roman"/>
          <w:sz w:val="30"/>
          <w:szCs w:val="30"/>
          <w:u w:val="single"/>
        </w:rPr>
        <w:t xml:space="preserve">  </w:t>
      </w:r>
      <w:r>
        <w:rPr>
          <w:rFonts w:hint="eastAsia" w:ascii="仿宋" w:hAnsi="仿宋" w:eastAsia="仿宋" w:cs="Times New Roman"/>
          <w:sz w:val="30"/>
          <w:szCs w:val="30"/>
          <w:u w:val="single"/>
          <w:lang w:eastAsia="zh-CN"/>
        </w:rPr>
        <w:t>☑</w:t>
      </w:r>
      <w:r>
        <w:rPr>
          <w:rFonts w:ascii="仿宋" w:hAnsi="仿宋" w:eastAsia="仿宋" w:cs="Times New Roman"/>
          <w:sz w:val="30"/>
          <w:szCs w:val="30"/>
          <w:u w:val="single"/>
        </w:rPr>
        <w:t xml:space="preserve">征求意见       </w:t>
      </w:r>
      <w:r>
        <w:rPr>
          <w:rFonts w:hint="eastAsia" w:ascii="仿宋" w:hAnsi="仿宋" w:eastAsia="仿宋" w:cs="Times New Roman"/>
          <w:sz w:val="30"/>
          <w:szCs w:val="30"/>
          <w:u w:val="single"/>
          <w:lang w:eastAsia="zh-CN"/>
        </w:rPr>
        <w:t>□</w:t>
      </w:r>
      <w:r>
        <w:rPr>
          <w:rFonts w:ascii="仿宋" w:hAnsi="仿宋" w:eastAsia="仿宋" w:cs="Times New Roman"/>
          <w:sz w:val="30"/>
          <w:szCs w:val="30"/>
          <w:u w:val="single"/>
        </w:rPr>
        <w:t xml:space="preserve">送审稿审查      </w:t>
      </w:r>
      <w:r>
        <w:rPr>
          <w:rFonts w:hint="eastAsia" w:ascii="仿宋" w:hAnsi="仿宋" w:eastAsia="仿宋" w:cs="Times New Roman"/>
          <w:sz w:val="30"/>
          <w:szCs w:val="30"/>
          <w:u w:val="single"/>
          <w:lang w:eastAsia="zh-CN"/>
        </w:rPr>
        <w:t>□</w:t>
      </w:r>
      <w:r>
        <w:rPr>
          <w:rFonts w:ascii="仿宋" w:hAnsi="仿宋" w:eastAsia="仿宋" w:cs="Times New Roman"/>
          <w:sz w:val="30"/>
          <w:szCs w:val="30"/>
          <w:u w:val="single"/>
        </w:rPr>
        <w:t>报批稿报批</w:t>
      </w:r>
    </w:p>
    <w:p w14:paraId="1A16EB49">
      <w:pPr>
        <w:adjustRightInd w:val="0"/>
        <w:snapToGrid w:val="0"/>
        <w:spacing w:line="276" w:lineRule="auto"/>
        <w:jc w:val="center"/>
        <w:rPr>
          <w:rFonts w:ascii="仿宋" w:hAnsi="仿宋" w:eastAsia="仿宋" w:cs="Times New Roman"/>
          <w:sz w:val="30"/>
          <w:szCs w:val="30"/>
        </w:rPr>
      </w:pPr>
    </w:p>
    <w:p w14:paraId="443A65AC">
      <w:pPr>
        <w:adjustRightInd w:val="0"/>
        <w:snapToGrid w:val="0"/>
        <w:spacing w:line="276" w:lineRule="auto"/>
        <w:jc w:val="center"/>
        <w:rPr>
          <w:rFonts w:ascii="仿宋" w:hAnsi="仿宋" w:eastAsia="仿宋" w:cs="Times New Roman"/>
          <w:sz w:val="30"/>
          <w:szCs w:val="30"/>
        </w:rPr>
      </w:pPr>
    </w:p>
    <w:p w14:paraId="5FD3D1A6">
      <w:pPr>
        <w:adjustRightInd w:val="0"/>
        <w:snapToGrid w:val="0"/>
        <w:spacing w:line="276" w:lineRule="auto"/>
        <w:ind w:left="-2" w:leftChars="-1" w:firstLine="2430" w:firstLineChars="810"/>
        <w:jc w:val="left"/>
        <w:rPr>
          <w:rFonts w:ascii="仿宋" w:hAnsi="仿宋" w:eastAsia="仿宋" w:cs="Times New Roman"/>
          <w:sz w:val="30"/>
          <w:szCs w:val="30"/>
          <w:u w:val="single"/>
        </w:rPr>
      </w:pPr>
      <w:r>
        <w:rPr>
          <w:rFonts w:ascii="仿宋" w:hAnsi="仿宋" w:eastAsia="仿宋" w:cs="Times New Roman"/>
          <w:sz w:val="30"/>
          <w:szCs w:val="30"/>
        </w:rPr>
        <w:t xml:space="preserve">编制时间： </w:t>
      </w:r>
      <w:r>
        <w:rPr>
          <w:rFonts w:ascii="仿宋" w:hAnsi="仿宋" w:eastAsia="仿宋" w:cs="Times New Roman"/>
          <w:sz w:val="30"/>
          <w:szCs w:val="30"/>
          <w:u w:val="single"/>
        </w:rPr>
        <w:t xml:space="preserve">   </w:t>
      </w:r>
      <w:r>
        <w:rPr>
          <w:rFonts w:hint="eastAsia" w:ascii="宋体" w:hAnsi="宋体" w:eastAsia="宋体" w:cs="Times New Roman"/>
          <w:sz w:val="32"/>
          <w:szCs w:val="32"/>
          <w:u w:val="single"/>
        </w:rPr>
        <w:t>二〇</w:t>
      </w:r>
      <w:r>
        <w:rPr>
          <w:rFonts w:hint="eastAsia" w:ascii="宋体" w:hAnsi="宋体" w:eastAsia="宋体" w:cs="Times New Roman"/>
          <w:sz w:val="32"/>
          <w:szCs w:val="32"/>
          <w:u w:val="single"/>
          <w:lang w:eastAsia="zh-CN"/>
        </w:rPr>
        <w:t>二</w:t>
      </w:r>
      <w:r>
        <w:rPr>
          <w:rFonts w:hint="eastAsia" w:ascii="宋体" w:hAnsi="宋体" w:eastAsia="宋体" w:cs="Times New Roman"/>
          <w:sz w:val="32"/>
          <w:szCs w:val="32"/>
          <w:u w:val="single"/>
          <w:lang w:val="en-US" w:eastAsia="zh-CN"/>
        </w:rPr>
        <w:t>五</w:t>
      </w:r>
      <w:r>
        <w:rPr>
          <w:rFonts w:hint="eastAsia" w:ascii="宋体" w:hAnsi="宋体" w:eastAsia="宋体" w:cs="Times New Roman"/>
          <w:sz w:val="32"/>
          <w:szCs w:val="32"/>
          <w:highlight w:val="none"/>
          <w:u w:val="single"/>
        </w:rPr>
        <w:t>年</w:t>
      </w:r>
      <w:r>
        <w:rPr>
          <w:rFonts w:hint="eastAsia" w:ascii="宋体" w:hAnsi="宋体" w:eastAsia="宋体" w:cs="Times New Roman"/>
          <w:sz w:val="32"/>
          <w:szCs w:val="32"/>
          <w:highlight w:val="none"/>
          <w:u w:val="single"/>
          <w:lang w:val="en-US" w:eastAsia="zh-CN"/>
        </w:rPr>
        <w:t>五</w:t>
      </w:r>
      <w:r>
        <w:rPr>
          <w:rFonts w:hint="eastAsia" w:ascii="宋体" w:hAnsi="宋体" w:eastAsia="宋体" w:cs="Times New Roman"/>
          <w:sz w:val="32"/>
          <w:szCs w:val="32"/>
          <w:highlight w:val="none"/>
          <w:u w:val="single"/>
        </w:rPr>
        <w:t>月</w:t>
      </w:r>
      <w:r>
        <w:rPr>
          <w:rFonts w:hint="eastAsia" w:ascii="宋体" w:hAnsi="宋体" w:eastAsia="宋体" w:cs="Times New Roman"/>
          <w:sz w:val="32"/>
          <w:szCs w:val="32"/>
          <w:highlight w:val="none"/>
          <w:u w:val="single"/>
          <w:lang w:val="en-US" w:eastAsia="zh-CN"/>
        </w:rPr>
        <w:t>十五</w:t>
      </w:r>
      <w:r>
        <w:rPr>
          <w:rFonts w:hint="eastAsia" w:ascii="宋体" w:hAnsi="宋体" w:eastAsia="宋体" w:cs="Times New Roman"/>
          <w:sz w:val="32"/>
          <w:szCs w:val="32"/>
          <w:highlight w:val="none"/>
          <w:u w:val="single"/>
        </w:rPr>
        <w:t>日</w:t>
      </w:r>
      <w:r>
        <w:rPr>
          <w:rFonts w:ascii="Times New Roman" w:hAnsi="Times New Roman" w:eastAsia="仿宋" w:cs="Times New Roman"/>
          <w:sz w:val="28"/>
          <w:szCs w:val="28"/>
          <w:highlight w:val="none"/>
          <w:u w:val="single"/>
        </w:rPr>
        <w:t xml:space="preserve"> </w:t>
      </w:r>
      <w:r>
        <w:rPr>
          <w:rFonts w:hint="eastAsia" w:ascii="仿宋" w:hAnsi="仿宋" w:eastAsia="仿宋" w:cs="Times New Roman"/>
          <w:sz w:val="30"/>
          <w:szCs w:val="30"/>
          <w:u w:val="single"/>
        </w:rPr>
        <w:t xml:space="preserve">  </w:t>
      </w:r>
      <w:r>
        <w:rPr>
          <w:rFonts w:ascii="仿宋" w:hAnsi="仿宋" w:eastAsia="仿宋" w:cs="Times New Roman"/>
          <w:sz w:val="30"/>
          <w:szCs w:val="30"/>
          <w:u w:val="single"/>
        </w:rPr>
        <w:t xml:space="preserve">    </w:t>
      </w:r>
    </w:p>
    <w:p w14:paraId="4E8D253A">
      <w:pPr>
        <w:adjustRightInd w:val="0"/>
        <w:snapToGrid w:val="0"/>
        <w:spacing w:line="276" w:lineRule="auto"/>
        <w:ind w:left="-2" w:leftChars="-1" w:firstLine="2430" w:firstLineChars="810"/>
        <w:jc w:val="left"/>
        <w:rPr>
          <w:rFonts w:ascii="仿宋" w:hAnsi="仿宋" w:eastAsia="仿宋" w:cs="Times New Roman"/>
          <w:sz w:val="30"/>
          <w:szCs w:val="30"/>
          <w:u w:val="single"/>
        </w:rPr>
      </w:pPr>
    </w:p>
    <w:p w14:paraId="60AF484A">
      <w:pPr>
        <w:adjustRightInd w:val="0"/>
        <w:snapToGrid w:val="0"/>
        <w:spacing w:line="276" w:lineRule="auto"/>
        <w:jc w:val="left"/>
        <w:rPr>
          <w:rFonts w:ascii="仿宋" w:hAnsi="仿宋" w:eastAsia="仿宋" w:cs="Times New Roman"/>
          <w:b/>
          <w:bCs/>
          <w:kern w:val="44"/>
          <w:sz w:val="30"/>
          <w:szCs w:val="30"/>
        </w:rPr>
      </w:pPr>
    </w:p>
    <w:p w14:paraId="07E81B15">
      <w:pPr>
        <w:adjustRightInd w:val="0"/>
        <w:snapToGrid w:val="0"/>
        <w:spacing w:line="276" w:lineRule="auto"/>
        <w:jc w:val="left"/>
        <w:rPr>
          <w:rFonts w:ascii="仿宋" w:hAnsi="仿宋" w:eastAsia="仿宋" w:cs="Times New Roman"/>
          <w:b/>
          <w:bCs/>
          <w:kern w:val="44"/>
          <w:sz w:val="30"/>
          <w:szCs w:val="30"/>
        </w:rPr>
      </w:pPr>
    </w:p>
    <w:p w14:paraId="28481C7A">
      <w:pPr>
        <w:adjustRightInd w:val="0"/>
        <w:snapToGrid w:val="0"/>
        <w:spacing w:line="360" w:lineRule="auto"/>
        <w:ind w:firstLine="640" w:firstLineChars="200"/>
        <w:jc w:val="center"/>
        <w:outlineLvl w:val="3"/>
        <w:rPr>
          <w:rFonts w:ascii="黑体" w:hAnsi="黑体" w:eastAsia="黑体"/>
          <w:sz w:val="32"/>
          <w:szCs w:val="32"/>
        </w:rPr>
      </w:pPr>
    </w:p>
    <w:p w14:paraId="79C42387">
      <w:pPr>
        <w:adjustRightInd w:val="0"/>
        <w:snapToGrid w:val="0"/>
        <w:spacing w:line="360" w:lineRule="auto"/>
        <w:ind w:firstLine="640" w:firstLineChars="200"/>
        <w:jc w:val="center"/>
        <w:outlineLvl w:val="3"/>
        <w:rPr>
          <w:rFonts w:ascii="黑体" w:hAnsi="黑体" w:eastAsia="黑体" w:cs="Times New Roman"/>
          <w:sz w:val="32"/>
          <w:szCs w:val="32"/>
        </w:rPr>
      </w:pPr>
      <w:r>
        <w:rPr>
          <w:rFonts w:hint="eastAsia" w:ascii="黑体" w:hAnsi="黑体" w:eastAsia="黑体" w:cs="Times New Roman"/>
          <w:sz w:val="32"/>
          <w:szCs w:val="32"/>
        </w:rPr>
        <w:t>目  次</w:t>
      </w:r>
    </w:p>
    <w:p w14:paraId="6AA1C73A">
      <w:pPr>
        <w:spacing w:line="360" w:lineRule="auto"/>
        <w:rPr>
          <w:rFonts w:ascii="宋体" w:hAnsi="宋体" w:eastAsia="宋体"/>
          <w:sz w:val="24"/>
          <w:szCs w:val="24"/>
        </w:rPr>
      </w:pPr>
      <w:r>
        <w:rPr>
          <w:rFonts w:hint="eastAsia" w:ascii="宋体" w:hAnsi="宋体" w:eastAsia="宋体"/>
          <w:sz w:val="24"/>
          <w:szCs w:val="24"/>
        </w:rPr>
        <w:t>一、工作简况，包括任务来源、制定背景、起草过程等；</w:t>
      </w:r>
    </w:p>
    <w:p w14:paraId="5D8CD273">
      <w:pPr>
        <w:spacing w:line="360" w:lineRule="auto"/>
        <w:rPr>
          <w:rFonts w:ascii="宋体" w:hAnsi="宋体" w:eastAsia="宋体"/>
          <w:sz w:val="24"/>
          <w:szCs w:val="24"/>
        </w:rPr>
      </w:pPr>
      <w:r>
        <w:rPr>
          <w:rFonts w:hint="eastAsia" w:ascii="宋体" w:hAnsi="宋体" w:eastAsia="宋体"/>
          <w:sz w:val="24"/>
          <w:szCs w:val="24"/>
        </w:rPr>
        <w:t>二、国家标准编制原则、主要内容及其确定依据，修订国家标准时，还包括修订前后技术内容的对比；</w:t>
      </w:r>
    </w:p>
    <w:p w14:paraId="47E11D65">
      <w:pPr>
        <w:spacing w:line="360" w:lineRule="auto"/>
        <w:rPr>
          <w:rFonts w:ascii="宋体" w:hAnsi="宋体" w:eastAsia="宋体"/>
          <w:sz w:val="24"/>
          <w:szCs w:val="24"/>
        </w:rPr>
      </w:pPr>
      <w:r>
        <w:rPr>
          <w:rFonts w:hint="eastAsia" w:ascii="宋体" w:hAnsi="宋体" w:eastAsia="宋体"/>
          <w:sz w:val="24"/>
          <w:szCs w:val="24"/>
        </w:rPr>
        <w:t>三、试验验证的分析、综述报告，技术经济论证，预期的经济效益、社会效益和生态效益；</w:t>
      </w:r>
    </w:p>
    <w:p w14:paraId="626AB979">
      <w:pPr>
        <w:spacing w:line="360" w:lineRule="auto"/>
        <w:rPr>
          <w:rFonts w:ascii="宋体" w:hAnsi="宋体" w:eastAsia="宋体"/>
          <w:sz w:val="24"/>
          <w:szCs w:val="24"/>
        </w:rPr>
      </w:pPr>
      <w:r>
        <w:rPr>
          <w:rFonts w:hint="eastAsia" w:ascii="宋体" w:hAnsi="宋体" w:eastAsia="宋体"/>
          <w:sz w:val="24"/>
          <w:szCs w:val="24"/>
        </w:rPr>
        <w:t>四、与国际、国外同类标准技术内容的对比情况，或者与测试的国外样品、样机的有关数据对比情况；</w:t>
      </w:r>
    </w:p>
    <w:p w14:paraId="023BBB9D">
      <w:pPr>
        <w:spacing w:line="360" w:lineRule="auto"/>
        <w:rPr>
          <w:rFonts w:ascii="宋体" w:hAnsi="宋体" w:eastAsia="宋体"/>
          <w:sz w:val="24"/>
          <w:szCs w:val="24"/>
        </w:rPr>
      </w:pPr>
      <w:r>
        <w:rPr>
          <w:rFonts w:hint="eastAsia" w:ascii="宋体" w:hAnsi="宋体" w:eastAsia="宋体"/>
          <w:sz w:val="24"/>
          <w:szCs w:val="24"/>
        </w:rPr>
        <w:t>五、以国际标准为基础的起草情况，以及是否合规引用或者采用国际国外标准，并说明未采用国际标准的原因；</w:t>
      </w:r>
    </w:p>
    <w:p w14:paraId="594397BA">
      <w:pPr>
        <w:spacing w:line="360" w:lineRule="auto"/>
        <w:rPr>
          <w:rFonts w:ascii="宋体" w:hAnsi="宋体" w:eastAsia="宋体"/>
          <w:sz w:val="24"/>
          <w:szCs w:val="24"/>
        </w:rPr>
      </w:pPr>
      <w:r>
        <w:rPr>
          <w:rFonts w:hint="eastAsia" w:ascii="宋体" w:hAnsi="宋体" w:eastAsia="宋体"/>
          <w:sz w:val="24"/>
          <w:szCs w:val="24"/>
        </w:rPr>
        <w:t>六、与有关法律、行政法规及相关标准的关系；</w:t>
      </w:r>
    </w:p>
    <w:p w14:paraId="3B369B1C">
      <w:pPr>
        <w:spacing w:line="360" w:lineRule="auto"/>
        <w:rPr>
          <w:rFonts w:ascii="宋体" w:hAnsi="宋体" w:eastAsia="宋体"/>
          <w:sz w:val="24"/>
          <w:szCs w:val="24"/>
        </w:rPr>
      </w:pPr>
      <w:r>
        <w:rPr>
          <w:rFonts w:hint="eastAsia" w:ascii="宋体" w:hAnsi="宋体" w:eastAsia="宋体"/>
          <w:sz w:val="24"/>
          <w:szCs w:val="24"/>
        </w:rPr>
        <w:t>七、重大分歧意见的处理经过和依据；</w:t>
      </w:r>
    </w:p>
    <w:p w14:paraId="5A0B27A0">
      <w:pPr>
        <w:spacing w:line="360" w:lineRule="auto"/>
        <w:rPr>
          <w:rFonts w:ascii="宋体" w:hAnsi="宋体" w:eastAsia="宋体"/>
          <w:sz w:val="24"/>
          <w:szCs w:val="24"/>
        </w:rPr>
      </w:pPr>
      <w:r>
        <w:rPr>
          <w:rFonts w:hint="eastAsia" w:ascii="宋体" w:hAnsi="宋体" w:eastAsia="宋体"/>
          <w:sz w:val="24"/>
          <w:szCs w:val="24"/>
        </w:rPr>
        <w:t>八、涉及专利的有关说明；</w:t>
      </w:r>
    </w:p>
    <w:p w14:paraId="05104520">
      <w:pPr>
        <w:spacing w:line="360" w:lineRule="auto"/>
        <w:rPr>
          <w:rFonts w:ascii="宋体" w:hAnsi="宋体" w:eastAsia="宋体"/>
          <w:sz w:val="24"/>
          <w:szCs w:val="24"/>
        </w:rPr>
      </w:pPr>
      <w:r>
        <w:rPr>
          <w:rFonts w:hint="eastAsia" w:ascii="宋体" w:hAnsi="宋体" w:eastAsia="宋体"/>
          <w:sz w:val="24"/>
          <w:szCs w:val="24"/>
        </w:rPr>
        <w:t>九、实施国家标准的要求，以及组织措施、技术措施、过渡期和实施日期的建议等措施建议；</w:t>
      </w:r>
    </w:p>
    <w:p w14:paraId="25A804EB">
      <w:pPr>
        <w:spacing w:line="360" w:lineRule="auto"/>
        <w:rPr>
          <w:rFonts w:ascii="宋体" w:hAnsi="宋体" w:eastAsia="宋体"/>
          <w:sz w:val="24"/>
          <w:szCs w:val="24"/>
        </w:rPr>
      </w:pPr>
      <w:r>
        <w:rPr>
          <w:rFonts w:hint="eastAsia" w:ascii="宋体" w:hAnsi="宋体" w:eastAsia="宋体"/>
          <w:sz w:val="24"/>
          <w:szCs w:val="24"/>
        </w:rPr>
        <w:t>十、其他应当说明的事项。</w:t>
      </w:r>
    </w:p>
    <w:p w14:paraId="323DD4AE">
      <w:pPr>
        <w:adjustRightInd w:val="0"/>
        <w:snapToGrid w:val="0"/>
        <w:spacing w:line="276" w:lineRule="auto"/>
        <w:jc w:val="left"/>
        <w:rPr>
          <w:rFonts w:ascii="仿宋" w:hAnsi="仿宋" w:eastAsia="仿宋" w:cs="Times New Roman"/>
          <w:b/>
          <w:bCs/>
          <w:kern w:val="44"/>
          <w:sz w:val="30"/>
          <w:szCs w:val="30"/>
        </w:rPr>
      </w:pPr>
    </w:p>
    <w:p w14:paraId="03BD3DFB">
      <w:pPr>
        <w:keepNext w:val="0"/>
        <w:keepLines w:val="0"/>
        <w:pageBreakBefore w:val="0"/>
        <w:widowControl w:val="0"/>
        <w:kinsoku/>
        <w:wordWrap/>
        <w:overflowPunct/>
        <w:topLinePunct w:val="0"/>
        <w:autoSpaceDE/>
        <w:autoSpaceDN/>
        <w:bidi w:val="0"/>
        <w:adjustRightInd w:val="0"/>
        <w:snapToGrid w:val="0"/>
        <w:spacing w:before="0" w:after="240" w:line="276" w:lineRule="auto"/>
        <w:jc w:val="center"/>
        <w:textAlignment w:val="auto"/>
        <w:outlineLvl w:val="9"/>
        <w:rPr>
          <w:rFonts w:ascii="黑体" w:hAnsi="黑体" w:eastAsia="黑体" w:cs="Times New Roman"/>
        </w:rPr>
      </w:pPr>
    </w:p>
    <w:p w14:paraId="0AB151BA">
      <w:pPr>
        <w:keepNext w:val="0"/>
        <w:keepLines w:val="0"/>
        <w:pageBreakBefore w:val="0"/>
        <w:widowControl w:val="0"/>
        <w:kinsoku/>
        <w:wordWrap/>
        <w:overflowPunct/>
        <w:topLinePunct w:val="0"/>
        <w:autoSpaceDE/>
        <w:autoSpaceDN/>
        <w:bidi w:val="0"/>
        <w:adjustRightInd w:val="0"/>
        <w:snapToGrid w:val="0"/>
        <w:spacing w:before="0" w:after="240" w:line="276" w:lineRule="auto"/>
        <w:jc w:val="center"/>
        <w:textAlignment w:val="auto"/>
        <w:outlineLvl w:val="9"/>
        <w:rPr>
          <w:rFonts w:ascii="黑体" w:hAnsi="黑体" w:eastAsia="黑体" w:cs="Times New Roman"/>
        </w:rPr>
      </w:pPr>
    </w:p>
    <w:p w14:paraId="09AD532E">
      <w:pPr>
        <w:keepNext w:val="0"/>
        <w:keepLines w:val="0"/>
        <w:pageBreakBefore w:val="0"/>
        <w:widowControl w:val="0"/>
        <w:kinsoku/>
        <w:wordWrap/>
        <w:overflowPunct/>
        <w:topLinePunct w:val="0"/>
        <w:autoSpaceDE/>
        <w:autoSpaceDN/>
        <w:bidi w:val="0"/>
        <w:adjustRightInd w:val="0"/>
        <w:snapToGrid w:val="0"/>
        <w:spacing w:before="0" w:after="240" w:line="276" w:lineRule="auto"/>
        <w:jc w:val="center"/>
        <w:textAlignment w:val="auto"/>
        <w:outlineLvl w:val="9"/>
        <w:rPr>
          <w:rFonts w:ascii="黑体" w:hAnsi="黑体" w:eastAsia="黑体" w:cs="Times New Roman"/>
        </w:rPr>
      </w:pPr>
    </w:p>
    <w:p w14:paraId="145DD634">
      <w:pPr>
        <w:keepNext w:val="0"/>
        <w:keepLines w:val="0"/>
        <w:pageBreakBefore w:val="0"/>
        <w:widowControl w:val="0"/>
        <w:kinsoku/>
        <w:wordWrap/>
        <w:overflowPunct/>
        <w:topLinePunct w:val="0"/>
        <w:autoSpaceDE/>
        <w:autoSpaceDN/>
        <w:bidi w:val="0"/>
        <w:textAlignment w:val="auto"/>
        <w:outlineLvl w:val="9"/>
      </w:pPr>
    </w:p>
    <w:p w14:paraId="4B0520CD">
      <w:pPr>
        <w:keepNext w:val="0"/>
        <w:keepLines w:val="0"/>
        <w:pageBreakBefore w:val="0"/>
        <w:widowControl w:val="0"/>
        <w:kinsoku/>
        <w:wordWrap/>
        <w:overflowPunct/>
        <w:topLinePunct w:val="0"/>
        <w:autoSpaceDE/>
        <w:autoSpaceDN/>
        <w:bidi w:val="0"/>
        <w:textAlignment w:val="auto"/>
        <w:outlineLvl w:val="9"/>
      </w:pPr>
    </w:p>
    <w:p w14:paraId="7F75754C">
      <w:pPr>
        <w:keepNext w:val="0"/>
        <w:keepLines w:val="0"/>
        <w:pageBreakBefore w:val="0"/>
        <w:widowControl w:val="0"/>
        <w:kinsoku/>
        <w:wordWrap/>
        <w:overflowPunct/>
        <w:topLinePunct w:val="0"/>
        <w:autoSpaceDE/>
        <w:autoSpaceDN/>
        <w:bidi w:val="0"/>
        <w:textAlignment w:val="auto"/>
        <w:outlineLvl w:val="9"/>
      </w:pPr>
    </w:p>
    <w:p w14:paraId="4B9ADB8D">
      <w:pPr>
        <w:keepNext w:val="0"/>
        <w:keepLines w:val="0"/>
        <w:pageBreakBefore w:val="0"/>
        <w:widowControl w:val="0"/>
        <w:kinsoku/>
        <w:wordWrap/>
        <w:overflowPunct/>
        <w:topLinePunct w:val="0"/>
        <w:autoSpaceDE/>
        <w:autoSpaceDN/>
        <w:bidi w:val="0"/>
        <w:textAlignment w:val="auto"/>
        <w:outlineLvl w:val="9"/>
      </w:pPr>
    </w:p>
    <w:p w14:paraId="315FD518">
      <w:pPr>
        <w:keepNext w:val="0"/>
        <w:keepLines w:val="0"/>
        <w:pageBreakBefore w:val="0"/>
        <w:widowControl w:val="0"/>
        <w:kinsoku/>
        <w:wordWrap/>
        <w:overflowPunct/>
        <w:topLinePunct w:val="0"/>
        <w:autoSpaceDE/>
        <w:autoSpaceDN/>
        <w:bidi w:val="0"/>
        <w:textAlignment w:val="auto"/>
        <w:outlineLvl w:val="9"/>
      </w:pPr>
    </w:p>
    <w:p w14:paraId="398311DF">
      <w:pPr>
        <w:keepNext w:val="0"/>
        <w:keepLines w:val="0"/>
        <w:pageBreakBefore w:val="0"/>
        <w:widowControl w:val="0"/>
        <w:kinsoku/>
        <w:wordWrap/>
        <w:overflowPunct/>
        <w:topLinePunct w:val="0"/>
        <w:autoSpaceDE/>
        <w:autoSpaceDN/>
        <w:bidi w:val="0"/>
        <w:textAlignment w:val="auto"/>
        <w:outlineLvl w:val="9"/>
      </w:pPr>
    </w:p>
    <w:p w14:paraId="54C5A260">
      <w:pPr>
        <w:keepNext w:val="0"/>
        <w:keepLines w:val="0"/>
        <w:pageBreakBefore w:val="0"/>
        <w:widowControl w:val="0"/>
        <w:kinsoku/>
        <w:wordWrap/>
        <w:overflowPunct/>
        <w:topLinePunct w:val="0"/>
        <w:autoSpaceDE/>
        <w:autoSpaceDN/>
        <w:bidi w:val="0"/>
        <w:textAlignment w:val="auto"/>
        <w:outlineLvl w:val="9"/>
      </w:pPr>
    </w:p>
    <w:p w14:paraId="40F4945E">
      <w:pPr>
        <w:keepNext w:val="0"/>
        <w:keepLines w:val="0"/>
        <w:pageBreakBefore w:val="0"/>
        <w:widowControl w:val="0"/>
        <w:kinsoku/>
        <w:wordWrap/>
        <w:overflowPunct/>
        <w:topLinePunct w:val="0"/>
        <w:autoSpaceDE/>
        <w:autoSpaceDN/>
        <w:bidi w:val="0"/>
        <w:textAlignment w:val="auto"/>
        <w:outlineLvl w:val="9"/>
      </w:pPr>
    </w:p>
    <w:p w14:paraId="78FD7A7E">
      <w:pPr>
        <w:keepNext w:val="0"/>
        <w:keepLines w:val="0"/>
        <w:pageBreakBefore w:val="0"/>
        <w:widowControl w:val="0"/>
        <w:kinsoku/>
        <w:wordWrap/>
        <w:overflowPunct/>
        <w:topLinePunct w:val="0"/>
        <w:autoSpaceDE/>
        <w:autoSpaceDN/>
        <w:bidi w:val="0"/>
        <w:adjustRightInd w:val="0"/>
        <w:snapToGrid w:val="0"/>
        <w:spacing w:before="0" w:after="240" w:line="276" w:lineRule="auto"/>
        <w:textAlignment w:val="auto"/>
        <w:outlineLvl w:val="9"/>
        <w:rPr>
          <w:rFonts w:ascii="黑体" w:hAnsi="黑体" w:eastAsia="黑体" w:cs="Times New Roman"/>
        </w:rPr>
      </w:pPr>
    </w:p>
    <w:p w14:paraId="254C0A51">
      <w:pPr>
        <w:keepNext w:val="0"/>
        <w:keepLines w:val="0"/>
        <w:pageBreakBefore w:val="0"/>
        <w:widowControl w:val="0"/>
        <w:kinsoku/>
        <w:wordWrap/>
        <w:overflowPunct/>
        <w:topLinePunct w:val="0"/>
        <w:autoSpaceDE/>
        <w:autoSpaceDN/>
        <w:bidi w:val="0"/>
        <w:textAlignment w:val="auto"/>
        <w:outlineLvl w:val="9"/>
      </w:pPr>
    </w:p>
    <w:p w14:paraId="1F7A75A6">
      <w:pPr>
        <w:keepNext w:val="0"/>
        <w:keepLines w:val="0"/>
        <w:pageBreakBefore w:val="0"/>
        <w:widowControl w:val="0"/>
        <w:kinsoku/>
        <w:wordWrap/>
        <w:overflowPunct/>
        <w:topLinePunct w:val="0"/>
        <w:autoSpaceDE/>
        <w:autoSpaceDN/>
        <w:bidi w:val="0"/>
        <w:adjustRightInd w:val="0"/>
        <w:snapToGrid w:val="0"/>
        <w:ind w:firstLine="720" w:firstLineChars="200"/>
        <w:jc w:val="center"/>
        <w:textAlignment w:val="auto"/>
        <w:outlineLvl w:val="9"/>
        <w:rPr>
          <w:rFonts w:ascii="黑体" w:hAnsi="黑体" w:eastAsia="黑体" w:cs="Times New Roman"/>
          <w:sz w:val="36"/>
          <w:szCs w:val="36"/>
        </w:rPr>
      </w:pPr>
    </w:p>
    <w:p w14:paraId="2542C90B">
      <w:pPr>
        <w:keepNext w:val="0"/>
        <w:keepLines w:val="0"/>
        <w:pageBreakBefore w:val="0"/>
        <w:widowControl w:val="0"/>
        <w:kinsoku/>
        <w:wordWrap/>
        <w:overflowPunct/>
        <w:topLinePunct w:val="0"/>
        <w:autoSpaceDE/>
        <w:autoSpaceDN/>
        <w:bidi w:val="0"/>
        <w:adjustRightInd w:val="0"/>
        <w:snapToGrid w:val="0"/>
        <w:ind w:firstLine="720" w:firstLineChars="200"/>
        <w:jc w:val="center"/>
        <w:textAlignment w:val="auto"/>
        <w:outlineLvl w:val="9"/>
        <w:rPr>
          <w:rFonts w:ascii="黑体" w:hAnsi="黑体" w:eastAsia="黑体" w:cs="Times New Roman"/>
          <w:sz w:val="36"/>
          <w:szCs w:val="36"/>
        </w:rPr>
      </w:pPr>
    </w:p>
    <w:p w14:paraId="2CB67A67">
      <w:pPr>
        <w:keepNext w:val="0"/>
        <w:keepLines w:val="0"/>
        <w:pageBreakBefore w:val="0"/>
        <w:widowControl w:val="0"/>
        <w:kinsoku/>
        <w:wordWrap/>
        <w:overflowPunct/>
        <w:topLinePunct w:val="0"/>
        <w:autoSpaceDE/>
        <w:autoSpaceDN/>
        <w:bidi w:val="0"/>
        <w:adjustRightInd w:val="0"/>
        <w:snapToGrid w:val="0"/>
        <w:ind w:firstLine="720" w:firstLineChars="200"/>
        <w:jc w:val="center"/>
        <w:textAlignment w:val="auto"/>
        <w:outlineLvl w:val="9"/>
        <w:rPr>
          <w:rFonts w:ascii="黑体" w:hAnsi="黑体" w:eastAsia="黑体" w:cs="Times New Roman"/>
          <w:sz w:val="36"/>
          <w:szCs w:val="36"/>
        </w:rPr>
      </w:pPr>
    </w:p>
    <w:p w14:paraId="08E1B912">
      <w:pPr>
        <w:keepNext w:val="0"/>
        <w:keepLines w:val="0"/>
        <w:pageBreakBefore w:val="0"/>
        <w:widowControl w:val="0"/>
        <w:kinsoku/>
        <w:wordWrap/>
        <w:overflowPunct/>
        <w:topLinePunct w:val="0"/>
        <w:autoSpaceDE/>
        <w:autoSpaceDN/>
        <w:bidi w:val="0"/>
        <w:adjustRightInd w:val="0"/>
        <w:snapToGrid w:val="0"/>
        <w:ind w:firstLine="720" w:firstLineChars="200"/>
        <w:jc w:val="center"/>
        <w:textAlignment w:val="auto"/>
        <w:outlineLvl w:val="9"/>
        <w:rPr>
          <w:rFonts w:ascii="黑体" w:hAnsi="黑体" w:eastAsia="黑体" w:cs="Times New Roman"/>
          <w:sz w:val="36"/>
          <w:szCs w:val="36"/>
        </w:rPr>
      </w:pPr>
    </w:p>
    <w:p w14:paraId="026E2F4C">
      <w:pPr>
        <w:adjustRightInd w:val="0"/>
        <w:snapToGrid w:val="0"/>
        <w:ind w:firstLine="720" w:firstLineChars="200"/>
        <w:jc w:val="center"/>
        <w:outlineLvl w:val="3"/>
        <w:rPr>
          <w:rFonts w:ascii="黑体" w:hAnsi="黑体" w:eastAsia="黑体" w:cs="Times New Roman"/>
          <w:sz w:val="36"/>
          <w:szCs w:val="36"/>
        </w:rPr>
      </w:pPr>
    </w:p>
    <w:p w14:paraId="2CD0ABD5">
      <w:pPr>
        <w:adjustRightInd w:val="0"/>
        <w:snapToGrid w:val="0"/>
        <w:ind w:firstLine="720" w:firstLineChars="200"/>
        <w:jc w:val="center"/>
        <w:outlineLvl w:val="3"/>
        <w:rPr>
          <w:rFonts w:ascii="黑体" w:hAnsi="黑体" w:eastAsia="黑体" w:cs="Times New Roman"/>
          <w:sz w:val="36"/>
          <w:szCs w:val="36"/>
        </w:rPr>
      </w:pPr>
      <w:r>
        <w:rPr>
          <w:rFonts w:ascii="黑体" w:hAnsi="黑体" w:eastAsia="黑体" w:cs="Times New Roman"/>
          <w:sz w:val="36"/>
          <w:szCs w:val="36"/>
        </w:rPr>
        <w:t>《</w:t>
      </w:r>
      <w:r>
        <w:rPr>
          <w:rFonts w:hint="eastAsia" w:ascii="黑体" w:hAnsi="黑体" w:eastAsia="黑体" w:cs="Times New Roman"/>
          <w:sz w:val="36"/>
          <w:szCs w:val="36"/>
        </w:rPr>
        <w:t>国家一、二等水准测量规范</w:t>
      </w:r>
      <w:r>
        <w:rPr>
          <w:rFonts w:ascii="黑体" w:hAnsi="黑体" w:eastAsia="黑体" w:cs="Times New Roman"/>
          <w:sz w:val="36"/>
          <w:szCs w:val="36"/>
        </w:rPr>
        <w:t>》</w:t>
      </w:r>
    </w:p>
    <w:p w14:paraId="07A5465D">
      <w:pPr>
        <w:adjustRightInd w:val="0"/>
        <w:snapToGrid w:val="0"/>
        <w:spacing w:line="360" w:lineRule="auto"/>
        <w:ind w:firstLine="720" w:firstLineChars="200"/>
        <w:jc w:val="center"/>
        <w:outlineLvl w:val="3"/>
        <w:rPr>
          <w:rFonts w:ascii="黑体" w:hAnsi="黑体" w:eastAsia="黑体" w:cs="Times New Roman"/>
          <w:sz w:val="36"/>
          <w:szCs w:val="36"/>
        </w:rPr>
      </w:pPr>
      <w:r>
        <w:rPr>
          <w:rFonts w:ascii="黑体" w:hAnsi="黑体" w:eastAsia="黑体" w:cs="Times New Roman"/>
          <w:sz w:val="36"/>
          <w:szCs w:val="36"/>
        </w:rPr>
        <w:t>编制说明</w:t>
      </w:r>
    </w:p>
    <w:p w14:paraId="4504A95B">
      <w:pPr>
        <w:pStyle w:val="3"/>
        <w:keepNext w:val="0"/>
        <w:keepLines w:val="0"/>
        <w:numPr>
          <w:ilvl w:val="0"/>
          <w:numId w:val="1"/>
        </w:numPr>
        <w:spacing w:before="120" w:after="120" w:line="240" w:lineRule="auto"/>
        <w:ind w:left="0" w:firstLine="0"/>
        <w:rPr>
          <w:rFonts w:ascii="黑体" w:hAnsi="黑体" w:eastAsia="黑体" w:cs="Times New Roman"/>
          <w:b w:val="0"/>
        </w:rPr>
      </w:pPr>
      <w:r>
        <w:rPr>
          <w:rFonts w:ascii="黑体" w:hAnsi="黑体" w:eastAsia="黑体" w:cs="Times New Roman"/>
          <w:b w:val="0"/>
        </w:rPr>
        <w:t>工作</w:t>
      </w:r>
      <w:r>
        <w:rPr>
          <w:rFonts w:hint="eastAsia" w:ascii="黑体" w:hAnsi="黑体" w:eastAsia="黑体" w:cs="Times New Roman"/>
          <w:b w:val="0"/>
        </w:rPr>
        <w:t>简况</w:t>
      </w:r>
    </w:p>
    <w:p w14:paraId="22B5E7A1">
      <w:pPr>
        <w:pStyle w:val="17"/>
        <w:numPr>
          <w:ilvl w:val="0"/>
          <w:numId w:val="2"/>
        </w:numPr>
        <w:ind w:firstLineChars="0"/>
        <w:rPr>
          <w:rFonts w:ascii="Times New Roman" w:hAnsi="Times New Roman" w:eastAsia="仿宋" w:cs="Times New Roman"/>
          <w:b/>
          <w:sz w:val="30"/>
          <w:szCs w:val="30"/>
        </w:rPr>
      </w:pPr>
      <w:r>
        <w:rPr>
          <w:rFonts w:ascii="Times New Roman" w:hAnsi="Times New Roman" w:eastAsia="仿宋" w:cs="Times New Roman"/>
          <w:b/>
          <w:sz w:val="30"/>
          <w:szCs w:val="30"/>
        </w:rPr>
        <w:t>任务来源</w:t>
      </w:r>
    </w:p>
    <w:p w14:paraId="4FF89052">
      <w:pPr>
        <w:adjustRightInd w:val="0"/>
        <w:snapToGrid w:val="0"/>
        <w:spacing w:line="276" w:lineRule="auto"/>
        <w:ind w:firstLine="560" w:firstLineChars="200"/>
        <w:rPr>
          <w:rFonts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2024</w:t>
      </w:r>
      <w:r>
        <w:rPr>
          <w:rFonts w:ascii="仿宋" w:hAnsi="仿宋" w:eastAsia="仿宋" w:cs="Times New Roman"/>
          <w:color w:val="000000"/>
          <w:sz w:val="28"/>
          <w:szCs w:val="28"/>
        </w:rPr>
        <w:t>年</w:t>
      </w:r>
      <w:r>
        <w:rPr>
          <w:rFonts w:hint="eastAsia" w:ascii="仿宋" w:hAnsi="仿宋" w:eastAsia="仿宋" w:cs="Times New Roman"/>
          <w:color w:val="000000"/>
          <w:sz w:val="28"/>
          <w:szCs w:val="28"/>
          <w:lang w:val="en-US" w:eastAsia="zh-CN"/>
        </w:rPr>
        <w:t>5</w:t>
      </w:r>
      <w:r>
        <w:rPr>
          <w:rFonts w:ascii="仿宋" w:hAnsi="仿宋" w:eastAsia="仿宋" w:cs="Times New Roman"/>
          <w:color w:val="000000"/>
          <w:sz w:val="28"/>
          <w:szCs w:val="28"/>
        </w:rPr>
        <w:t>月</w:t>
      </w:r>
      <w:r>
        <w:rPr>
          <w:rFonts w:hint="eastAsia" w:ascii="仿宋" w:hAnsi="仿宋" w:eastAsia="仿宋" w:cs="Times New Roman"/>
          <w:color w:val="000000"/>
          <w:sz w:val="28"/>
          <w:szCs w:val="28"/>
          <w:lang w:val="en-US" w:eastAsia="zh-CN"/>
        </w:rPr>
        <w:t>31</w:t>
      </w:r>
      <w:r>
        <w:rPr>
          <w:rFonts w:ascii="仿宋" w:hAnsi="仿宋" w:eastAsia="仿宋" w:cs="Times New Roman"/>
          <w:color w:val="000000"/>
          <w:sz w:val="28"/>
          <w:szCs w:val="28"/>
        </w:rPr>
        <w:t>日，国家标准化管理委员会以国标委</w:t>
      </w:r>
      <w:r>
        <w:rPr>
          <w:rFonts w:hint="eastAsia" w:ascii="仿宋" w:hAnsi="仿宋" w:eastAsia="仿宋" w:cs="Times New Roman"/>
          <w:color w:val="000000"/>
          <w:sz w:val="28"/>
          <w:szCs w:val="28"/>
        </w:rPr>
        <w:t>发</w:t>
      </w:r>
      <w:r>
        <w:rPr>
          <w:rFonts w:hint="eastAsia" w:ascii="仿宋" w:hAnsi="仿宋" w:eastAsia="仿宋" w:cs="Times New Roman"/>
          <w:color w:val="000000"/>
          <w:sz w:val="28"/>
          <w:szCs w:val="28"/>
          <w:lang w:val="en-US" w:eastAsia="zh-CN"/>
        </w:rPr>
        <w:t>[2024</w:t>
      </w:r>
      <w:r>
        <w:rPr>
          <w:rFonts w:ascii="仿宋" w:hAnsi="仿宋" w:eastAsia="仿宋" w:cs="Times New Roman"/>
          <w:color w:val="000000"/>
          <w:sz w:val="28"/>
          <w:szCs w:val="28"/>
        </w:rPr>
        <w:t>]</w:t>
      </w:r>
      <w:r>
        <w:rPr>
          <w:rFonts w:hint="eastAsia" w:ascii="仿宋" w:hAnsi="仿宋" w:eastAsia="仿宋" w:cs="Times New Roman"/>
          <w:color w:val="000000"/>
          <w:sz w:val="28"/>
          <w:szCs w:val="28"/>
          <w:lang w:val="en-US" w:eastAsia="zh-CN"/>
        </w:rPr>
        <w:t>25</w:t>
      </w:r>
      <w:r>
        <w:rPr>
          <w:rFonts w:ascii="仿宋" w:hAnsi="仿宋" w:eastAsia="仿宋" w:cs="Times New Roman"/>
          <w:color w:val="000000"/>
          <w:sz w:val="28"/>
          <w:szCs w:val="28"/>
        </w:rPr>
        <w:t>号文发布《</w:t>
      </w:r>
      <w:r>
        <w:rPr>
          <w:rFonts w:hint="eastAsia" w:ascii="仿宋" w:hAnsi="仿宋" w:eastAsia="仿宋" w:cs="Times New Roman"/>
          <w:color w:val="000000"/>
          <w:sz w:val="28"/>
          <w:szCs w:val="28"/>
        </w:rPr>
        <w:t>国家标准化管理委员会关于下达2024年第三批推荐性国家标准计划及相关标准外文版计划的通知</w:t>
      </w:r>
      <w:r>
        <w:rPr>
          <w:rFonts w:ascii="仿宋" w:hAnsi="仿宋" w:eastAsia="仿宋" w:cs="Times New Roman"/>
          <w:color w:val="000000"/>
          <w:sz w:val="28"/>
          <w:szCs w:val="28"/>
        </w:rPr>
        <w:t>》，</w:t>
      </w:r>
      <w:r>
        <w:rPr>
          <w:rFonts w:hint="eastAsia" w:ascii="仿宋" w:hAnsi="仿宋" w:eastAsia="仿宋" w:cs="Times New Roman"/>
          <w:color w:val="000000"/>
          <w:sz w:val="28"/>
          <w:szCs w:val="28"/>
        </w:rPr>
        <w:t>正式</w:t>
      </w:r>
      <w:r>
        <w:rPr>
          <w:rFonts w:ascii="仿宋" w:hAnsi="仿宋" w:eastAsia="仿宋" w:cs="Times New Roman"/>
          <w:color w:val="000000"/>
          <w:sz w:val="28"/>
          <w:szCs w:val="28"/>
        </w:rPr>
        <w:t>批准</w:t>
      </w:r>
      <w:r>
        <w:rPr>
          <w:rFonts w:hint="eastAsia" w:ascii="仿宋" w:hAnsi="仿宋" w:eastAsia="仿宋" w:cs="Times New Roman"/>
          <w:color w:val="000000"/>
          <w:sz w:val="28"/>
          <w:szCs w:val="28"/>
        </w:rPr>
        <w:t>国家</w:t>
      </w:r>
      <w:r>
        <w:rPr>
          <w:rFonts w:ascii="仿宋" w:hAnsi="仿宋" w:eastAsia="仿宋" w:cs="Times New Roman"/>
          <w:color w:val="000000"/>
          <w:sz w:val="28"/>
          <w:szCs w:val="28"/>
        </w:rPr>
        <w:t>标准计划项目：</w:t>
      </w:r>
      <w:r>
        <w:rPr>
          <w:rFonts w:hint="eastAsia" w:ascii="仿宋" w:hAnsi="仿宋" w:eastAsia="仿宋" w:cs="Times New Roman"/>
          <w:color w:val="auto"/>
          <w:sz w:val="28"/>
          <w:szCs w:val="28"/>
          <w:lang w:val="en-US" w:eastAsia="zh-CN"/>
        </w:rPr>
        <w:t>国家一、二等水准测量规范</w:t>
      </w:r>
      <w:r>
        <w:rPr>
          <w:rFonts w:ascii="仿宋" w:hAnsi="仿宋" w:eastAsia="仿宋" w:cs="Times New Roman"/>
          <w:color w:val="000000"/>
          <w:sz w:val="28"/>
          <w:szCs w:val="28"/>
        </w:rPr>
        <w:t>，编号为</w:t>
      </w:r>
      <w:r>
        <w:rPr>
          <w:rFonts w:hint="eastAsia" w:ascii="仿宋" w:hAnsi="仿宋" w:eastAsia="仿宋" w:cs="Times New Roman"/>
          <w:color w:val="000000"/>
          <w:sz w:val="28"/>
          <w:szCs w:val="28"/>
        </w:rPr>
        <w:t>20241595-T-466。</w:t>
      </w:r>
    </w:p>
    <w:p w14:paraId="29C40692">
      <w:pPr>
        <w:adjustRightInd w:val="0"/>
        <w:snapToGrid w:val="0"/>
        <w:spacing w:line="276" w:lineRule="auto"/>
        <w:ind w:firstLine="560" w:firstLineChars="200"/>
        <w:rPr>
          <w:rFonts w:ascii="仿宋" w:hAnsi="仿宋" w:eastAsia="仿宋" w:cs="Times New Roman"/>
          <w:color w:val="000000"/>
          <w:sz w:val="28"/>
          <w:szCs w:val="28"/>
        </w:rPr>
      </w:pPr>
      <w:r>
        <w:rPr>
          <w:rFonts w:ascii="仿宋" w:hAnsi="仿宋" w:eastAsia="仿宋" w:cs="Times New Roman"/>
          <w:color w:val="000000"/>
          <w:sz w:val="28"/>
          <w:szCs w:val="28"/>
        </w:rPr>
        <w:t>本项任务由中华人民共和国自然资源部提出，由全国地理信息标准化技术委员会SAC/TC</w:t>
      </w:r>
      <w:r>
        <w:rPr>
          <w:rFonts w:hint="eastAsia" w:ascii="仿宋" w:hAnsi="仿宋" w:eastAsia="仿宋" w:cs="Times New Roman"/>
          <w:color w:val="000000"/>
          <w:sz w:val="28"/>
          <w:szCs w:val="28"/>
        </w:rPr>
        <w:t xml:space="preserve"> </w:t>
      </w:r>
      <w:r>
        <w:rPr>
          <w:rFonts w:ascii="仿宋" w:hAnsi="仿宋" w:eastAsia="仿宋" w:cs="Times New Roman"/>
          <w:color w:val="000000"/>
          <w:sz w:val="28"/>
          <w:szCs w:val="28"/>
        </w:rPr>
        <w:t>230归口。按计划于</w:t>
      </w:r>
      <w:r>
        <w:rPr>
          <w:rFonts w:hint="eastAsia" w:ascii="仿宋" w:hAnsi="仿宋" w:eastAsia="仿宋" w:cs="Times New Roman"/>
          <w:color w:val="000000"/>
          <w:sz w:val="28"/>
          <w:szCs w:val="28"/>
          <w:highlight w:val="none"/>
          <w:lang w:val="en-US" w:eastAsia="zh-CN"/>
        </w:rPr>
        <w:t>2025</w:t>
      </w:r>
      <w:r>
        <w:rPr>
          <w:rFonts w:ascii="仿宋" w:hAnsi="仿宋" w:eastAsia="仿宋" w:cs="Times New Roman"/>
          <w:color w:val="000000"/>
          <w:sz w:val="28"/>
          <w:szCs w:val="28"/>
          <w:highlight w:val="none"/>
        </w:rPr>
        <w:t>年</w:t>
      </w:r>
      <w:r>
        <w:rPr>
          <w:rFonts w:hint="eastAsia" w:ascii="仿宋" w:hAnsi="仿宋" w:eastAsia="仿宋" w:cs="Times New Roman"/>
          <w:color w:val="000000"/>
          <w:sz w:val="28"/>
          <w:szCs w:val="28"/>
          <w:highlight w:val="none"/>
          <w:lang w:val="en-US" w:eastAsia="zh-CN"/>
        </w:rPr>
        <w:t>11</w:t>
      </w:r>
      <w:r>
        <w:rPr>
          <w:rFonts w:ascii="仿宋" w:hAnsi="仿宋" w:eastAsia="仿宋" w:cs="Times New Roman"/>
          <w:color w:val="000000"/>
          <w:sz w:val="28"/>
          <w:szCs w:val="28"/>
        </w:rPr>
        <w:t>月完成。</w:t>
      </w:r>
      <w:r>
        <w:rPr>
          <w:rFonts w:hint="eastAsia" w:ascii="仿宋" w:hAnsi="仿宋" w:eastAsia="仿宋" w:cs="Times New Roman"/>
          <w:color w:val="000000"/>
          <w:sz w:val="28"/>
          <w:szCs w:val="28"/>
          <w:highlight w:val="none"/>
          <w:lang w:eastAsia="zh-CN"/>
        </w:rPr>
        <w:t>自然资源部测绘标准化研究所</w:t>
      </w:r>
      <w:r>
        <w:rPr>
          <w:rFonts w:hint="eastAsia" w:ascii="仿宋" w:hAnsi="仿宋" w:eastAsia="仿宋" w:cs="Times New Roman"/>
          <w:color w:val="000000"/>
          <w:sz w:val="28"/>
          <w:szCs w:val="28"/>
          <w:highlight w:val="none"/>
        </w:rPr>
        <w:t>承担编制，自然资源部第</w:t>
      </w:r>
      <w:r>
        <w:rPr>
          <w:rFonts w:hint="eastAsia" w:ascii="仿宋" w:hAnsi="仿宋" w:eastAsia="仿宋" w:cs="Times New Roman"/>
          <w:color w:val="000000"/>
          <w:sz w:val="28"/>
          <w:szCs w:val="28"/>
          <w:highlight w:val="none"/>
          <w:lang w:val="en-US" w:eastAsia="zh-CN"/>
        </w:rPr>
        <w:t>一大地</w:t>
      </w:r>
      <w:r>
        <w:rPr>
          <w:rFonts w:hint="eastAsia" w:ascii="仿宋" w:hAnsi="仿宋" w:eastAsia="仿宋" w:cs="Times New Roman"/>
          <w:color w:val="000000"/>
          <w:sz w:val="28"/>
          <w:szCs w:val="28"/>
          <w:highlight w:val="none"/>
        </w:rPr>
        <w:t>测量队、自然资源部</w:t>
      </w:r>
      <w:r>
        <w:rPr>
          <w:rFonts w:hint="eastAsia" w:ascii="仿宋" w:hAnsi="仿宋" w:eastAsia="仿宋" w:cs="Times New Roman"/>
          <w:color w:val="000000"/>
          <w:sz w:val="28"/>
          <w:szCs w:val="28"/>
          <w:highlight w:val="none"/>
          <w:lang w:val="en-US" w:eastAsia="zh-CN"/>
        </w:rPr>
        <w:t>大地测量数据处理中心</w:t>
      </w:r>
      <w:r>
        <w:rPr>
          <w:rFonts w:hint="eastAsia" w:ascii="仿宋" w:hAnsi="仿宋" w:eastAsia="仿宋" w:cs="Times New Roman"/>
          <w:color w:val="000000"/>
          <w:sz w:val="28"/>
          <w:szCs w:val="28"/>
          <w:highlight w:val="none"/>
        </w:rPr>
        <w:t>、</w:t>
      </w:r>
      <w:r>
        <w:rPr>
          <w:rFonts w:hint="eastAsia" w:ascii="仿宋" w:hAnsi="仿宋" w:eastAsia="仿宋" w:cs="Times New Roman"/>
          <w:color w:val="000000"/>
          <w:sz w:val="28"/>
          <w:szCs w:val="28"/>
          <w:highlight w:val="none"/>
          <w:lang w:val="en-US" w:eastAsia="zh-CN"/>
        </w:rPr>
        <w:t>国家基础地理信息中心</w:t>
      </w:r>
      <w:r>
        <w:rPr>
          <w:rFonts w:hint="eastAsia" w:ascii="仿宋" w:hAnsi="仿宋" w:eastAsia="仿宋" w:cs="Times New Roman"/>
          <w:color w:val="000000"/>
          <w:sz w:val="28"/>
          <w:szCs w:val="28"/>
          <w:highlight w:val="none"/>
        </w:rPr>
        <w:t>、武汉大学、</w:t>
      </w:r>
      <w:r>
        <w:rPr>
          <w:rFonts w:hint="eastAsia" w:ascii="仿宋" w:hAnsi="仿宋" w:eastAsia="仿宋" w:cs="Times New Roman"/>
          <w:color w:val="000000"/>
          <w:sz w:val="28"/>
          <w:szCs w:val="28"/>
          <w:highlight w:val="none"/>
          <w:lang w:val="en-US" w:eastAsia="zh-CN"/>
        </w:rPr>
        <w:t>中国测绘科学研究院、中铁第一勘察设计院集团有限公司、自然资源部第二大地测量队、自然资源部第三大地测量队、北京市测绘设计研究院、广州市城市规划勘测设计研究院有限公司、天津市测绘院有限公司、海克斯康测绘与地理信息系统（青岛）有限公司、中国电建集团西北勘测设计研究院有限公司</w:t>
      </w:r>
      <w:r>
        <w:rPr>
          <w:rFonts w:hint="eastAsia" w:ascii="仿宋" w:hAnsi="仿宋" w:eastAsia="仿宋" w:cs="Times New Roman"/>
          <w:color w:val="000000"/>
          <w:sz w:val="28"/>
          <w:szCs w:val="28"/>
        </w:rPr>
        <w:t>协作共同起草完成。</w:t>
      </w:r>
    </w:p>
    <w:p w14:paraId="585768AB">
      <w:pPr>
        <w:pStyle w:val="17"/>
        <w:numPr>
          <w:ilvl w:val="0"/>
          <w:numId w:val="2"/>
        </w:numPr>
        <w:ind w:firstLineChars="0"/>
        <w:rPr>
          <w:rFonts w:ascii="Times New Roman" w:hAnsi="Times New Roman" w:eastAsia="仿宋" w:cs="Times New Roman"/>
          <w:b/>
          <w:sz w:val="30"/>
          <w:szCs w:val="30"/>
        </w:rPr>
      </w:pPr>
      <w:r>
        <w:rPr>
          <w:rFonts w:hint="eastAsia" w:ascii="Times New Roman" w:hAnsi="Times New Roman" w:eastAsia="仿宋" w:cs="Times New Roman"/>
          <w:b/>
          <w:sz w:val="30"/>
          <w:szCs w:val="30"/>
        </w:rPr>
        <w:t>制定背景</w:t>
      </w:r>
    </w:p>
    <w:p w14:paraId="75F0A39E">
      <w:pPr>
        <w:adjustRightInd w:val="0"/>
        <w:snapToGrid w:val="0"/>
        <w:spacing w:line="276" w:lineRule="auto"/>
        <w:ind w:firstLine="560" w:firstLineChars="200"/>
        <w:rPr>
          <w:rFonts w:hint="eastAsia" w:ascii="仿宋" w:hAnsi="仿宋" w:eastAsia="仿宋" w:cs="Times New Roman"/>
          <w:color w:val="000000"/>
          <w:sz w:val="28"/>
          <w:szCs w:val="28"/>
        </w:rPr>
      </w:pPr>
      <w:r>
        <w:rPr>
          <w:rFonts w:hint="eastAsia" w:ascii="仿宋" w:hAnsi="仿宋" w:eastAsia="仿宋" w:cs="Times New Roman"/>
          <w:color w:val="auto"/>
          <w:sz w:val="28"/>
          <w:szCs w:val="28"/>
          <w:lang w:val="en-US" w:eastAsia="zh-CN"/>
        </w:rPr>
        <w:t>一、二等水准测量是建立国家高程基准的唯一技术依据，也是高程基准现代化建设的重要技术支撑，另外在桥梁、铁路、公路、建筑等重大工程和项目中的各个阶段都有应用。一、二等水准测量是国家高程控制体系的基石，其核心意义在于构建统一、权威的高精度空间基准框架，为国土空间治理、重大工程建设和地球科学研究提供不可替代的基础支撑。它通过建立全国高程基准网络，解决了区域高程系统碎片化问题，确保从跨海大桥到高原铁路、从城市地下管网到卫星导航定位的全局空间数据一致性，为国家主权空间数据的精准化管理和现代化治理奠定基础。</w:t>
      </w:r>
    </w:p>
    <w:p w14:paraId="64F41146">
      <w:pPr>
        <w:adjustRightInd w:val="0"/>
        <w:snapToGrid w:val="0"/>
        <w:spacing w:line="276" w:lineRule="auto"/>
        <w:ind w:firstLine="560" w:firstLineChars="200"/>
        <w:rPr>
          <w:rFonts w:ascii="仿宋" w:hAnsi="仿宋" w:eastAsia="仿宋" w:cs="Times New Roman"/>
          <w:color w:val="000000"/>
          <w:sz w:val="28"/>
          <w:szCs w:val="28"/>
        </w:rPr>
      </w:pPr>
      <w:r>
        <w:rPr>
          <w:rFonts w:hint="eastAsia" w:ascii="仿宋" w:hAnsi="仿宋" w:eastAsia="仿宋" w:cs="Times New Roman"/>
          <w:color w:val="000000"/>
          <w:sz w:val="28"/>
          <w:szCs w:val="28"/>
        </w:rPr>
        <w:t>我国于</w:t>
      </w:r>
      <w:r>
        <w:rPr>
          <w:rFonts w:hint="eastAsia" w:ascii="仿宋" w:hAnsi="仿宋" w:eastAsia="仿宋" w:cs="Times New Roman"/>
          <w:color w:val="000000"/>
          <w:sz w:val="28"/>
          <w:szCs w:val="28"/>
          <w:lang w:val="en-US" w:eastAsia="zh-CN"/>
        </w:rPr>
        <w:t>1991</w:t>
      </w:r>
      <w:r>
        <w:rPr>
          <w:rFonts w:hint="eastAsia" w:ascii="仿宋" w:hAnsi="仿宋" w:eastAsia="仿宋" w:cs="Times New Roman"/>
          <w:color w:val="000000"/>
          <w:sz w:val="28"/>
          <w:szCs w:val="28"/>
        </w:rPr>
        <w:t xml:space="preserve">年发布了GB </w:t>
      </w:r>
      <w:r>
        <w:rPr>
          <w:rFonts w:hint="eastAsia" w:ascii="仿宋" w:hAnsi="仿宋" w:eastAsia="仿宋" w:cs="Times New Roman"/>
          <w:color w:val="000000"/>
          <w:sz w:val="28"/>
          <w:szCs w:val="28"/>
          <w:lang w:val="en-US" w:eastAsia="zh-CN"/>
        </w:rPr>
        <w:t>12897-1991</w:t>
      </w:r>
      <w:r>
        <w:rPr>
          <w:rFonts w:hint="eastAsia" w:ascii="仿宋" w:hAnsi="仿宋" w:eastAsia="仿宋" w:cs="Times New Roman"/>
          <w:color w:val="000000"/>
          <w:sz w:val="28"/>
          <w:szCs w:val="28"/>
        </w:rPr>
        <w:t>《</w:t>
      </w:r>
      <w:r>
        <w:rPr>
          <w:rFonts w:hint="eastAsia" w:ascii="仿宋" w:hAnsi="仿宋" w:eastAsia="仿宋" w:cs="Times New Roman"/>
          <w:color w:val="000000"/>
          <w:sz w:val="28"/>
          <w:szCs w:val="28"/>
          <w:lang w:val="en-US" w:eastAsia="zh-CN"/>
        </w:rPr>
        <w:t>国家一、二等水准测量规范</w:t>
      </w:r>
      <w:r>
        <w:rPr>
          <w:rFonts w:hint="eastAsia" w:ascii="仿宋" w:hAnsi="仿宋" w:eastAsia="仿宋" w:cs="Times New Roman"/>
          <w:color w:val="000000"/>
          <w:sz w:val="28"/>
          <w:szCs w:val="28"/>
        </w:rPr>
        <w:t>》,该标准</w:t>
      </w:r>
      <w:r>
        <w:rPr>
          <w:rFonts w:hint="eastAsia" w:ascii="仿宋" w:hAnsi="仿宋" w:eastAsia="仿宋" w:cs="Times New Roman"/>
          <w:color w:val="000000"/>
          <w:sz w:val="28"/>
          <w:szCs w:val="28"/>
          <w:lang w:val="en-US" w:eastAsia="zh-CN"/>
        </w:rPr>
        <w:t>于1992年实施，于2006年废止。2006年GB/T 12897-2006</w:t>
      </w:r>
      <w:r>
        <w:rPr>
          <w:rFonts w:hint="eastAsia" w:ascii="仿宋" w:hAnsi="仿宋" w:eastAsia="仿宋" w:cs="Times New Roman"/>
          <w:color w:val="000000"/>
          <w:sz w:val="28"/>
          <w:szCs w:val="28"/>
        </w:rPr>
        <w:t>《</w:t>
      </w:r>
      <w:r>
        <w:rPr>
          <w:rFonts w:hint="eastAsia" w:ascii="仿宋" w:hAnsi="仿宋" w:eastAsia="仿宋" w:cs="Times New Roman"/>
          <w:color w:val="000000"/>
          <w:sz w:val="28"/>
          <w:szCs w:val="28"/>
          <w:lang w:val="en-US" w:eastAsia="zh-CN"/>
        </w:rPr>
        <w:t>国家一、二等水准测量规范</w:t>
      </w:r>
      <w:r>
        <w:rPr>
          <w:rFonts w:hint="eastAsia" w:ascii="仿宋" w:hAnsi="仿宋" w:eastAsia="仿宋" w:cs="Times New Roman"/>
          <w:color w:val="000000"/>
          <w:sz w:val="28"/>
          <w:szCs w:val="28"/>
        </w:rPr>
        <w:t>》发布并实施</w:t>
      </w:r>
      <w:r>
        <w:rPr>
          <w:rFonts w:hint="eastAsia" w:ascii="仿宋" w:hAnsi="仿宋" w:eastAsia="仿宋" w:cs="Times New Roman"/>
          <w:color w:val="000000"/>
          <w:sz w:val="28"/>
          <w:szCs w:val="28"/>
          <w:lang w:eastAsia="zh-CN"/>
        </w:rPr>
        <w:t>，</w:t>
      </w:r>
      <w:r>
        <w:rPr>
          <w:rFonts w:hint="eastAsia" w:ascii="仿宋" w:hAnsi="仿宋" w:eastAsia="仿宋" w:cs="Times New Roman"/>
          <w:color w:val="000000"/>
          <w:sz w:val="28"/>
          <w:szCs w:val="28"/>
          <w:lang w:val="en-US" w:eastAsia="zh-CN"/>
        </w:rPr>
        <w:t>取代了GB 12897-1991。该标准沿用至今近2</w:t>
      </w:r>
      <w:r>
        <w:rPr>
          <w:rFonts w:hint="eastAsia" w:ascii="仿宋" w:hAnsi="仿宋" w:eastAsia="仿宋" w:cs="Times New Roman"/>
          <w:color w:val="000000"/>
          <w:sz w:val="28"/>
          <w:szCs w:val="28"/>
        </w:rPr>
        <w:t>0年，随着我国经济</w:t>
      </w:r>
      <w:r>
        <w:rPr>
          <w:rFonts w:hint="eastAsia" w:ascii="仿宋" w:hAnsi="仿宋" w:eastAsia="仿宋" w:cs="Times New Roman"/>
          <w:color w:val="000000"/>
          <w:sz w:val="28"/>
          <w:szCs w:val="28"/>
          <w:lang w:eastAsia="zh-CN"/>
        </w:rPr>
        <w:t>、</w:t>
      </w:r>
      <w:r>
        <w:rPr>
          <w:rFonts w:hint="eastAsia" w:ascii="仿宋" w:hAnsi="仿宋" w:eastAsia="仿宋" w:cs="Times New Roman"/>
          <w:color w:val="000000"/>
          <w:sz w:val="28"/>
          <w:szCs w:val="28"/>
        </w:rPr>
        <w:t>社会和技术的发展，标准编制要求和</w:t>
      </w:r>
      <w:r>
        <w:rPr>
          <w:rFonts w:hint="eastAsia" w:ascii="仿宋" w:hAnsi="仿宋" w:eastAsia="仿宋" w:cs="Times New Roman"/>
          <w:color w:val="000000"/>
          <w:sz w:val="28"/>
          <w:szCs w:val="28"/>
          <w:lang w:val="en-US" w:eastAsia="zh-CN"/>
        </w:rPr>
        <w:t>一、二等水准测量</w:t>
      </w:r>
      <w:r>
        <w:rPr>
          <w:rFonts w:hint="eastAsia" w:ascii="仿宋" w:hAnsi="仿宋" w:eastAsia="仿宋" w:cs="Times New Roman"/>
          <w:color w:val="000000"/>
          <w:sz w:val="28"/>
          <w:szCs w:val="28"/>
        </w:rPr>
        <w:t>技术</w:t>
      </w:r>
      <w:r>
        <w:rPr>
          <w:rFonts w:hint="eastAsia" w:ascii="仿宋" w:hAnsi="仿宋" w:eastAsia="仿宋" w:cs="Times New Roman"/>
          <w:color w:val="000000"/>
          <w:sz w:val="28"/>
          <w:szCs w:val="28"/>
          <w:lang w:val="en-US" w:eastAsia="zh-CN"/>
        </w:rPr>
        <w:t>均</w:t>
      </w:r>
      <w:r>
        <w:rPr>
          <w:rFonts w:hint="eastAsia" w:ascii="仿宋" w:hAnsi="仿宋" w:eastAsia="仿宋" w:cs="Times New Roman"/>
          <w:color w:val="000000"/>
          <w:sz w:val="28"/>
          <w:szCs w:val="28"/>
        </w:rPr>
        <w:t>发生了较大变化。鉴于此，确有必要修订和完善</w:t>
      </w:r>
      <w:r>
        <w:rPr>
          <w:rFonts w:hint="eastAsia" w:ascii="仿宋" w:hAnsi="仿宋" w:eastAsia="仿宋" w:cs="Times New Roman"/>
          <w:color w:val="000000"/>
          <w:sz w:val="28"/>
          <w:szCs w:val="28"/>
          <w:lang w:val="en-US" w:eastAsia="zh-CN"/>
        </w:rPr>
        <w:t>GB/T 12897-2006</w:t>
      </w:r>
      <w:r>
        <w:rPr>
          <w:rFonts w:hint="eastAsia" w:ascii="仿宋" w:hAnsi="仿宋" w:eastAsia="仿宋" w:cs="Times New Roman"/>
          <w:color w:val="000000"/>
          <w:sz w:val="28"/>
          <w:szCs w:val="28"/>
        </w:rPr>
        <w:t>，以不断适应</w:t>
      </w:r>
      <w:r>
        <w:rPr>
          <w:rFonts w:hint="eastAsia" w:ascii="仿宋" w:hAnsi="仿宋" w:eastAsia="仿宋" w:cs="Times New Roman"/>
          <w:color w:val="000000"/>
          <w:sz w:val="28"/>
          <w:szCs w:val="28"/>
          <w:lang w:val="en-US" w:eastAsia="zh-CN"/>
        </w:rPr>
        <w:t>一、二等水准测量</w:t>
      </w:r>
      <w:r>
        <w:rPr>
          <w:rFonts w:hint="eastAsia" w:ascii="仿宋" w:hAnsi="仿宋" w:eastAsia="仿宋" w:cs="Times New Roman"/>
          <w:color w:val="000000"/>
          <w:sz w:val="28"/>
          <w:szCs w:val="28"/>
        </w:rPr>
        <w:t>的新变化和新需求。本文件针对当前</w:t>
      </w:r>
      <w:r>
        <w:rPr>
          <w:rFonts w:hint="eastAsia" w:ascii="仿宋" w:hAnsi="仿宋" w:eastAsia="仿宋" w:cs="Times New Roman"/>
          <w:color w:val="000000"/>
          <w:sz w:val="28"/>
          <w:szCs w:val="28"/>
          <w:lang w:val="en-US" w:eastAsia="zh-CN"/>
        </w:rPr>
        <w:t>一、二等水准测量</w:t>
      </w:r>
      <w:r>
        <w:rPr>
          <w:rFonts w:hint="eastAsia" w:ascii="仿宋" w:hAnsi="仿宋" w:eastAsia="仿宋" w:cs="Times New Roman"/>
          <w:color w:val="000000"/>
          <w:sz w:val="28"/>
          <w:szCs w:val="28"/>
        </w:rPr>
        <w:t>所涉及技术方法、内容和要求进行了修订和完善。为保持原技术体系的完整性、现有标准之间的协调性以及标准体系的系统性、完整性，在本标准修订过程中，对经过实践检验正确合理的目前仍在使用的技术方法和技术指标予以保留；增加新的技术</w:t>
      </w:r>
      <w:r>
        <w:rPr>
          <w:rFonts w:hint="eastAsia" w:ascii="仿宋" w:hAnsi="仿宋" w:eastAsia="仿宋" w:cs="Times New Roman"/>
          <w:color w:val="000000"/>
          <w:sz w:val="28"/>
          <w:szCs w:val="28"/>
          <w:lang w:eastAsia="zh-CN"/>
        </w:rPr>
        <w:t>要求</w:t>
      </w:r>
      <w:r>
        <w:rPr>
          <w:rFonts w:hint="eastAsia" w:ascii="仿宋" w:hAnsi="仿宋" w:eastAsia="仿宋" w:cs="Times New Roman"/>
          <w:color w:val="000000"/>
          <w:sz w:val="28"/>
          <w:szCs w:val="28"/>
        </w:rPr>
        <w:t>；对已经淘汰不再使用的技术方法予以删除；对发生变化的技术、方法、标石等内容进行修改；与相关标准不协调的内容进行完善，以满足现代</w:t>
      </w:r>
      <w:r>
        <w:rPr>
          <w:rFonts w:hint="eastAsia" w:ascii="仿宋" w:hAnsi="仿宋" w:eastAsia="仿宋" w:cs="Times New Roman"/>
          <w:color w:val="000000"/>
          <w:sz w:val="28"/>
          <w:szCs w:val="28"/>
          <w:lang w:val="en-US" w:eastAsia="zh-CN"/>
        </w:rPr>
        <w:t>一、二等水准测量</w:t>
      </w:r>
      <w:r>
        <w:rPr>
          <w:rFonts w:hint="eastAsia" w:ascii="仿宋" w:hAnsi="仿宋" w:eastAsia="仿宋" w:cs="Times New Roman"/>
          <w:color w:val="000000"/>
          <w:sz w:val="28"/>
          <w:szCs w:val="28"/>
        </w:rPr>
        <w:t>的实际需求</w:t>
      </w:r>
      <w:r>
        <w:rPr>
          <w:rFonts w:ascii="仿宋" w:hAnsi="仿宋" w:eastAsia="仿宋" w:cs="Times New Roman"/>
          <w:color w:val="000000"/>
          <w:sz w:val="28"/>
          <w:szCs w:val="28"/>
        </w:rPr>
        <w:t>。</w:t>
      </w:r>
    </w:p>
    <w:p w14:paraId="26A6D101">
      <w:pPr>
        <w:pStyle w:val="17"/>
        <w:numPr>
          <w:ilvl w:val="0"/>
          <w:numId w:val="2"/>
        </w:numPr>
        <w:ind w:firstLineChars="0"/>
        <w:rPr>
          <w:rFonts w:ascii="Times New Roman" w:hAnsi="Times New Roman" w:eastAsia="仿宋" w:cs="Times New Roman"/>
          <w:b/>
          <w:sz w:val="30"/>
          <w:szCs w:val="30"/>
        </w:rPr>
      </w:pPr>
      <w:r>
        <w:rPr>
          <w:rFonts w:hint="eastAsia" w:ascii="Times New Roman" w:hAnsi="Times New Roman" w:eastAsia="仿宋" w:cs="Times New Roman"/>
          <w:b/>
          <w:sz w:val="30"/>
          <w:szCs w:val="30"/>
        </w:rPr>
        <w:t>起草单位及主要起草人</w:t>
      </w:r>
    </w:p>
    <w:p w14:paraId="2E836F08">
      <w:pPr>
        <w:adjustRightInd w:val="0"/>
        <w:snapToGrid w:val="0"/>
        <w:spacing w:line="276" w:lineRule="auto"/>
        <w:ind w:firstLine="602" w:firstLineChars="200"/>
        <w:rPr>
          <w:rFonts w:ascii="仿宋" w:hAnsi="仿宋" w:eastAsia="仿宋" w:cs="Times New Roman"/>
          <w:b/>
          <w:color w:val="000000"/>
          <w:sz w:val="30"/>
          <w:szCs w:val="30"/>
        </w:rPr>
      </w:pPr>
      <w:r>
        <w:rPr>
          <w:rFonts w:hint="eastAsia" w:ascii="仿宋" w:hAnsi="仿宋" w:eastAsia="仿宋" w:cs="Times New Roman"/>
          <w:b/>
          <w:color w:val="000000"/>
          <w:sz w:val="30"/>
          <w:szCs w:val="30"/>
        </w:rPr>
        <w:t>1）承担单位和协作单位</w:t>
      </w:r>
    </w:p>
    <w:p w14:paraId="46B7EE01">
      <w:pPr>
        <w:adjustRightInd w:val="0"/>
        <w:snapToGrid w:val="0"/>
        <w:spacing w:line="276" w:lineRule="auto"/>
        <w:ind w:firstLine="560" w:firstLineChars="200"/>
        <w:rPr>
          <w:rFonts w:ascii="仿宋" w:hAnsi="仿宋" w:eastAsia="仿宋" w:cs="Times New Roman"/>
          <w:color w:val="000000"/>
          <w:sz w:val="28"/>
          <w:szCs w:val="28"/>
        </w:rPr>
      </w:pPr>
      <w:r>
        <w:rPr>
          <w:rFonts w:ascii="仿宋" w:hAnsi="仿宋" w:eastAsia="仿宋" w:cs="Times New Roman"/>
          <w:color w:val="000000"/>
          <w:sz w:val="28"/>
          <w:szCs w:val="28"/>
        </w:rPr>
        <w:t>承担单位（主编单位）</w:t>
      </w:r>
      <w:r>
        <w:rPr>
          <w:rFonts w:hint="eastAsia" w:ascii="仿宋" w:hAnsi="仿宋" w:eastAsia="仿宋" w:cs="Times New Roman"/>
          <w:color w:val="000000"/>
          <w:sz w:val="28"/>
          <w:szCs w:val="28"/>
        </w:rPr>
        <w:t>：</w:t>
      </w:r>
      <w:r>
        <w:rPr>
          <w:rFonts w:hint="eastAsia" w:ascii="仿宋" w:hAnsi="仿宋" w:eastAsia="仿宋" w:cs="Times New Roman"/>
          <w:color w:val="000000"/>
          <w:sz w:val="28"/>
          <w:szCs w:val="28"/>
          <w:lang w:eastAsia="zh-CN"/>
        </w:rPr>
        <w:t>自然资源部测绘标准化研究所</w:t>
      </w:r>
      <w:r>
        <w:rPr>
          <w:rFonts w:ascii="仿宋" w:hAnsi="仿宋" w:eastAsia="仿宋" w:cs="Times New Roman"/>
          <w:color w:val="000000"/>
          <w:sz w:val="28"/>
          <w:szCs w:val="28"/>
        </w:rPr>
        <w:t>。</w:t>
      </w:r>
    </w:p>
    <w:p w14:paraId="238E781C">
      <w:pPr>
        <w:adjustRightInd w:val="0"/>
        <w:snapToGrid w:val="0"/>
        <w:spacing w:line="276" w:lineRule="auto"/>
        <w:ind w:firstLine="560" w:firstLineChars="200"/>
        <w:rPr>
          <w:rFonts w:ascii="仿宋" w:hAnsi="仿宋" w:eastAsia="仿宋" w:cs="Times New Roman"/>
          <w:color w:val="000000"/>
          <w:sz w:val="28"/>
          <w:szCs w:val="28"/>
        </w:rPr>
      </w:pPr>
      <w:r>
        <w:rPr>
          <w:rFonts w:ascii="仿宋" w:hAnsi="仿宋" w:eastAsia="仿宋" w:cs="Times New Roman"/>
          <w:color w:val="000000"/>
          <w:sz w:val="28"/>
          <w:szCs w:val="28"/>
        </w:rPr>
        <w:t>协作单位（参编单位）</w:t>
      </w:r>
      <w:r>
        <w:rPr>
          <w:rFonts w:hint="eastAsia" w:ascii="仿宋" w:hAnsi="仿宋" w:eastAsia="仿宋" w:cs="Times New Roman"/>
          <w:color w:val="000000"/>
          <w:sz w:val="28"/>
          <w:szCs w:val="28"/>
        </w:rPr>
        <w:t>：自然资源部第一大地测量队、自然资源部大地测量数据处理中心、国家基础地理信息中心、武汉大学、中国测绘科学研究院中铁第一勘察设计院集团有限公司、自然资源部第二大地测量队、自然资源部第三大地测量队、北京市测绘设计研究院、广州市城市规划勘测设计研究院</w:t>
      </w:r>
      <w:r>
        <w:rPr>
          <w:rFonts w:hint="eastAsia" w:ascii="仿宋" w:hAnsi="仿宋" w:eastAsia="仿宋" w:cs="Times New Roman"/>
          <w:color w:val="000000"/>
          <w:sz w:val="28"/>
          <w:szCs w:val="28"/>
          <w:highlight w:val="none"/>
          <w:lang w:val="en-US" w:eastAsia="zh-CN"/>
        </w:rPr>
        <w:t>有限公司</w:t>
      </w:r>
      <w:r>
        <w:rPr>
          <w:rFonts w:hint="eastAsia" w:ascii="仿宋" w:hAnsi="仿宋" w:eastAsia="仿宋" w:cs="Times New Roman"/>
          <w:color w:val="000000"/>
          <w:sz w:val="28"/>
          <w:szCs w:val="28"/>
        </w:rPr>
        <w:t>、天津市测绘院有限公司、海克斯康测绘与地理信息系统（青岛）有限公司</w:t>
      </w:r>
      <w:r>
        <w:rPr>
          <w:rFonts w:hint="eastAsia" w:ascii="仿宋" w:hAnsi="仿宋" w:eastAsia="仿宋" w:cs="Times New Roman"/>
          <w:color w:val="000000"/>
          <w:sz w:val="28"/>
          <w:szCs w:val="28"/>
          <w:lang w:eastAsia="zh-CN"/>
        </w:rPr>
        <w:t>、</w:t>
      </w:r>
      <w:r>
        <w:rPr>
          <w:rFonts w:hint="eastAsia" w:ascii="仿宋" w:hAnsi="仿宋" w:eastAsia="仿宋" w:cs="Times New Roman"/>
          <w:color w:val="000000"/>
          <w:sz w:val="28"/>
          <w:szCs w:val="28"/>
          <w:highlight w:val="none"/>
          <w:lang w:val="en-US" w:eastAsia="zh-CN"/>
        </w:rPr>
        <w:t>中国电建集团西北勘测设计研究院有限公司</w:t>
      </w:r>
      <w:r>
        <w:rPr>
          <w:rFonts w:ascii="仿宋" w:hAnsi="仿宋" w:eastAsia="仿宋" w:cs="Times New Roman"/>
          <w:color w:val="000000"/>
          <w:sz w:val="28"/>
          <w:szCs w:val="28"/>
        </w:rPr>
        <w:t>。</w:t>
      </w:r>
    </w:p>
    <w:p w14:paraId="3B8A2D06">
      <w:pPr>
        <w:numPr>
          <w:ilvl w:val="0"/>
          <w:numId w:val="3"/>
        </w:numPr>
        <w:adjustRightInd w:val="0"/>
        <w:snapToGrid w:val="0"/>
        <w:spacing w:line="276" w:lineRule="auto"/>
        <w:ind w:firstLine="602" w:firstLineChars="200"/>
        <w:rPr>
          <w:rFonts w:ascii="仿宋" w:hAnsi="仿宋" w:eastAsia="仿宋" w:cs="Times New Roman"/>
          <w:b/>
          <w:sz w:val="30"/>
          <w:szCs w:val="30"/>
        </w:rPr>
      </w:pPr>
      <w:r>
        <w:rPr>
          <w:rFonts w:ascii="仿宋" w:hAnsi="仿宋" w:eastAsia="仿宋" w:cs="Times New Roman"/>
          <w:b/>
          <w:sz w:val="30"/>
          <w:szCs w:val="30"/>
        </w:rPr>
        <w:t>主要起草人及其所做工作</w:t>
      </w:r>
    </w:p>
    <w:p w14:paraId="24F8A04A">
      <w:pPr>
        <w:numPr>
          <w:ilvl w:val="0"/>
          <w:numId w:val="0"/>
        </w:numPr>
        <w:adjustRightInd w:val="0"/>
        <w:snapToGrid w:val="0"/>
        <w:spacing w:line="276" w:lineRule="auto"/>
        <w:ind w:firstLine="560" w:firstLineChars="200"/>
        <w:rPr>
          <w:rFonts w:hint="eastAsia" w:ascii="仿宋" w:hAnsi="仿宋" w:eastAsia="仿宋" w:cs="Times New Roman"/>
          <w:b/>
          <w:sz w:val="30"/>
          <w:szCs w:val="30"/>
          <w:lang w:val="en-US" w:eastAsia="zh-CN"/>
        </w:rPr>
      </w:pPr>
      <w:r>
        <w:rPr>
          <w:rFonts w:hint="eastAsia" w:ascii="仿宋" w:hAnsi="仿宋" w:eastAsia="仿宋" w:cs="Times New Roman"/>
          <w:color w:val="000000"/>
          <w:sz w:val="28"/>
          <w:szCs w:val="28"/>
          <w:lang w:val="en-US" w:eastAsia="zh-CN"/>
        </w:rPr>
        <w:t>暂略。</w:t>
      </w:r>
    </w:p>
    <w:p w14:paraId="6E7C5FFE">
      <w:pPr>
        <w:pStyle w:val="17"/>
        <w:numPr>
          <w:ilvl w:val="0"/>
          <w:numId w:val="2"/>
        </w:numPr>
        <w:ind w:firstLineChars="0"/>
        <w:rPr>
          <w:rFonts w:ascii="仿宋" w:hAnsi="仿宋" w:eastAsia="仿宋" w:cs="Times New Roman"/>
          <w:b/>
          <w:sz w:val="30"/>
          <w:szCs w:val="30"/>
        </w:rPr>
      </w:pPr>
      <w:r>
        <w:rPr>
          <w:rFonts w:ascii="Times New Roman" w:hAnsi="Times New Roman" w:eastAsia="仿宋" w:cs="Times New Roman"/>
          <w:b/>
          <w:sz w:val="30"/>
          <w:szCs w:val="30"/>
        </w:rPr>
        <w:t>主要工作过程</w:t>
      </w:r>
    </w:p>
    <w:p w14:paraId="34817437">
      <w:pPr>
        <w:adjustRightInd w:val="0"/>
        <w:snapToGrid w:val="0"/>
        <w:spacing w:line="276" w:lineRule="auto"/>
        <w:ind w:firstLine="602" w:firstLineChars="200"/>
        <w:rPr>
          <w:rFonts w:ascii="仿宋" w:hAnsi="仿宋" w:eastAsia="仿宋" w:cs="Times New Roman"/>
          <w:b/>
          <w:color w:val="000000"/>
          <w:sz w:val="30"/>
          <w:szCs w:val="30"/>
        </w:rPr>
      </w:pPr>
      <w:r>
        <w:rPr>
          <w:rFonts w:hint="eastAsia" w:ascii="仿宋" w:hAnsi="仿宋" w:eastAsia="仿宋" w:cs="Times New Roman"/>
          <w:b/>
          <w:color w:val="000000"/>
          <w:sz w:val="30"/>
          <w:szCs w:val="30"/>
        </w:rPr>
        <w:t>1）立项启动</w:t>
      </w:r>
    </w:p>
    <w:p w14:paraId="652805AC">
      <w:pPr>
        <w:adjustRightInd w:val="0"/>
        <w:snapToGrid w:val="0"/>
        <w:spacing w:line="276" w:lineRule="auto"/>
        <w:ind w:firstLine="560" w:firstLineChars="200"/>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2024年5月31日，国家标准化管理委员会以国标委发[2024]25号文发布《国家标准化管理委员会关于下达2024年第三批推荐性国家标准计划及相关标准外文版计划的通知》，国家一、二等水准测量规范</w:t>
      </w:r>
      <w:r>
        <w:rPr>
          <w:rFonts w:hint="eastAsia" w:ascii="仿宋" w:hAnsi="仿宋" w:eastAsia="仿宋" w:cs="Times New Roman"/>
          <w:color w:val="000000"/>
          <w:sz w:val="28"/>
          <w:szCs w:val="28"/>
          <w:lang w:val="en-US" w:eastAsia="zh-CN"/>
        </w:rPr>
        <w:t>正式获批</w:t>
      </w:r>
      <w:r>
        <w:rPr>
          <w:rFonts w:hint="eastAsia" w:ascii="仿宋" w:hAnsi="仿宋" w:eastAsia="仿宋" w:cs="Times New Roman"/>
          <w:color w:val="000000"/>
          <w:sz w:val="28"/>
          <w:szCs w:val="28"/>
        </w:rPr>
        <w:t>，编号为20241595-T-466，由自然资源部测绘标准化研究所牵头起草。本标准获得立项批准后，主编单位积极开展启动准备工作。发文邀请国内有关单位专家参加本标准编制工作，</w:t>
      </w:r>
      <w:r>
        <w:rPr>
          <w:rFonts w:hint="eastAsia" w:ascii="仿宋" w:hAnsi="仿宋" w:eastAsia="仿宋" w:cs="Times New Roman"/>
          <w:color w:val="000000"/>
          <w:sz w:val="28"/>
          <w:szCs w:val="28"/>
          <w:lang w:eastAsia="zh-CN"/>
        </w:rPr>
        <w:t>组成了涵盖</w:t>
      </w:r>
      <w:r>
        <w:rPr>
          <w:rFonts w:hint="eastAsia" w:ascii="仿宋" w:hAnsi="仿宋" w:eastAsia="仿宋" w:cs="Times New Roman"/>
          <w:color w:val="000000"/>
          <w:sz w:val="28"/>
          <w:szCs w:val="28"/>
        </w:rPr>
        <w:t>生产、科研、企业、高校等专家组成</w:t>
      </w:r>
      <w:r>
        <w:rPr>
          <w:rFonts w:hint="eastAsia" w:ascii="仿宋" w:hAnsi="仿宋" w:eastAsia="仿宋" w:cs="Times New Roman"/>
          <w:color w:val="000000"/>
          <w:sz w:val="28"/>
          <w:szCs w:val="28"/>
          <w:lang w:eastAsia="zh-CN"/>
        </w:rPr>
        <w:t>的</w:t>
      </w:r>
      <w:r>
        <w:rPr>
          <w:rFonts w:hint="eastAsia" w:ascii="仿宋" w:hAnsi="仿宋" w:eastAsia="仿宋" w:cs="Times New Roman"/>
          <w:color w:val="000000"/>
          <w:sz w:val="28"/>
          <w:szCs w:val="28"/>
        </w:rPr>
        <w:t>规范</w:t>
      </w:r>
      <w:r>
        <w:rPr>
          <w:rFonts w:hint="eastAsia" w:ascii="仿宋" w:hAnsi="仿宋" w:eastAsia="仿宋" w:cs="Times New Roman"/>
          <w:color w:val="000000"/>
          <w:sz w:val="28"/>
          <w:szCs w:val="28"/>
          <w:lang w:eastAsia="zh-CN"/>
        </w:rPr>
        <w:t>编制</w:t>
      </w:r>
      <w:r>
        <w:rPr>
          <w:rFonts w:hint="eastAsia" w:ascii="仿宋" w:hAnsi="仿宋" w:eastAsia="仿宋" w:cs="Times New Roman"/>
          <w:color w:val="000000"/>
          <w:sz w:val="28"/>
          <w:szCs w:val="28"/>
        </w:rPr>
        <w:t>组。随后，广泛搜集了公路、铁路、城建、</w:t>
      </w:r>
      <w:r>
        <w:rPr>
          <w:rFonts w:hint="eastAsia" w:ascii="仿宋" w:hAnsi="仿宋" w:eastAsia="仿宋" w:cs="Times New Roman"/>
          <w:color w:val="000000"/>
          <w:sz w:val="28"/>
          <w:szCs w:val="28"/>
          <w:lang w:val="en-US" w:eastAsia="zh-CN"/>
        </w:rPr>
        <w:t>仪器</w:t>
      </w:r>
      <w:r>
        <w:rPr>
          <w:rFonts w:hint="eastAsia" w:ascii="仿宋" w:hAnsi="仿宋" w:eastAsia="仿宋" w:cs="Times New Roman"/>
          <w:color w:val="000000"/>
          <w:sz w:val="28"/>
          <w:szCs w:val="28"/>
        </w:rPr>
        <w:t>等涉及国家一、二等水准测量主要领域的相关</w:t>
      </w:r>
      <w:r>
        <w:rPr>
          <w:rFonts w:hint="eastAsia" w:ascii="仿宋" w:hAnsi="仿宋" w:eastAsia="仿宋" w:cs="Times New Roman"/>
          <w:color w:val="000000"/>
          <w:sz w:val="28"/>
          <w:szCs w:val="28"/>
          <w:lang w:eastAsia="zh-CN"/>
        </w:rPr>
        <w:t>标准以及政策法规</w:t>
      </w:r>
      <w:r>
        <w:rPr>
          <w:rFonts w:hint="eastAsia" w:ascii="仿宋" w:hAnsi="仿宋" w:eastAsia="仿宋" w:cs="Times New Roman"/>
          <w:color w:val="000000"/>
          <w:sz w:val="28"/>
          <w:szCs w:val="28"/>
        </w:rPr>
        <w:t>进行</w:t>
      </w:r>
      <w:r>
        <w:rPr>
          <w:rFonts w:hint="eastAsia" w:ascii="仿宋" w:hAnsi="仿宋" w:eastAsia="仿宋" w:cs="Times New Roman"/>
          <w:color w:val="000000"/>
          <w:sz w:val="28"/>
          <w:szCs w:val="28"/>
          <w:lang w:eastAsia="zh-CN"/>
        </w:rPr>
        <w:t>梳理分析，编制实施方案，</w:t>
      </w:r>
      <w:r>
        <w:rPr>
          <w:rFonts w:hint="eastAsia" w:ascii="仿宋" w:hAnsi="仿宋" w:eastAsia="仿宋" w:cs="Times New Roman"/>
          <w:color w:val="000000"/>
          <w:sz w:val="28"/>
          <w:szCs w:val="28"/>
        </w:rPr>
        <w:t>起草标准编制大纲。这些都为《国家一、二等水准测量规范》的修订奠定了良好的基础和提供了充分的技术依据。</w:t>
      </w:r>
    </w:p>
    <w:p w14:paraId="49340A00">
      <w:pPr>
        <w:adjustRightInd w:val="0"/>
        <w:snapToGrid w:val="0"/>
        <w:spacing w:line="276" w:lineRule="auto"/>
        <w:ind w:firstLine="560" w:firstLineChars="200"/>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20</w:t>
      </w:r>
      <w:r>
        <w:rPr>
          <w:rFonts w:hint="eastAsia" w:ascii="仿宋" w:hAnsi="仿宋" w:eastAsia="仿宋" w:cs="Times New Roman"/>
          <w:color w:val="000000"/>
          <w:sz w:val="28"/>
          <w:szCs w:val="28"/>
          <w:lang w:val="en-US" w:eastAsia="zh-CN"/>
        </w:rPr>
        <w:t>25</w:t>
      </w:r>
      <w:r>
        <w:rPr>
          <w:rFonts w:hint="eastAsia" w:ascii="仿宋" w:hAnsi="仿宋" w:eastAsia="仿宋" w:cs="Times New Roman"/>
          <w:color w:val="000000"/>
          <w:sz w:val="28"/>
          <w:szCs w:val="28"/>
        </w:rPr>
        <w:t>年</w:t>
      </w:r>
      <w:r>
        <w:rPr>
          <w:rFonts w:hint="eastAsia" w:ascii="仿宋" w:hAnsi="仿宋" w:eastAsia="仿宋" w:cs="Times New Roman"/>
          <w:color w:val="000000"/>
          <w:sz w:val="28"/>
          <w:szCs w:val="28"/>
          <w:lang w:val="en-US" w:eastAsia="zh-CN"/>
        </w:rPr>
        <w:t>3</w:t>
      </w:r>
      <w:r>
        <w:rPr>
          <w:rFonts w:hint="eastAsia" w:ascii="仿宋" w:hAnsi="仿宋" w:eastAsia="仿宋" w:cs="Times New Roman"/>
          <w:color w:val="000000"/>
          <w:sz w:val="28"/>
          <w:szCs w:val="28"/>
        </w:rPr>
        <w:t>月</w:t>
      </w:r>
      <w:r>
        <w:rPr>
          <w:rFonts w:hint="eastAsia" w:ascii="仿宋" w:hAnsi="仿宋" w:eastAsia="仿宋" w:cs="Times New Roman"/>
          <w:color w:val="000000"/>
          <w:sz w:val="28"/>
          <w:szCs w:val="28"/>
          <w:lang w:val="en-US" w:eastAsia="zh-CN"/>
        </w:rPr>
        <w:t>27日</w:t>
      </w:r>
      <w:r>
        <w:rPr>
          <w:rFonts w:hint="eastAsia" w:ascii="仿宋" w:hAnsi="仿宋" w:eastAsia="仿宋" w:cs="Times New Roman"/>
          <w:color w:val="000000"/>
          <w:sz w:val="28"/>
          <w:szCs w:val="28"/>
        </w:rPr>
        <w:t>，在西安召开</w:t>
      </w:r>
      <w:r>
        <w:rPr>
          <w:rFonts w:hint="eastAsia" w:ascii="仿宋" w:hAnsi="仿宋" w:eastAsia="仿宋" w:cs="Times New Roman"/>
          <w:color w:val="000000"/>
          <w:sz w:val="28"/>
          <w:szCs w:val="28"/>
          <w:lang w:eastAsia="zh-CN"/>
        </w:rPr>
        <w:t>了标准修订启动会暨第一次</w:t>
      </w:r>
      <w:r>
        <w:rPr>
          <w:rFonts w:hint="eastAsia" w:ascii="仿宋" w:hAnsi="仿宋" w:eastAsia="仿宋" w:cs="Times New Roman"/>
          <w:color w:val="000000"/>
          <w:sz w:val="28"/>
          <w:szCs w:val="28"/>
        </w:rPr>
        <w:t>研讨会，统一</w:t>
      </w:r>
      <w:r>
        <w:rPr>
          <w:rFonts w:hint="eastAsia" w:ascii="仿宋" w:hAnsi="仿宋" w:eastAsia="仿宋" w:cs="Times New Roman"/>
          <w:color w:val="000000"/>
          <w:sz w:val="28"/>
          <w:szCs w:val="28"/>
          <w:lang w:eastAsia="zh-CN"/>
        </w:rPr>
        <w:t>修订</w:t>
      </w:r>
      <w:r>
        <w:rPr>
          <w:rFonts w:hint="eastAsia" w:ascii="仿宋" w:hAnsi="仿宋" w:eastAsia="仿宋" w:cs="Times New Roman"/>
          <w:color w:val="000000"/>
          <w:sz w:val="28"/>
          <w:szCs w:val="28"/>
        </w:rPr>
        <w:t>思想与基本原则</w:t>
      </w:r>
      <w:r>
        <w:rPr>
          <w:rFonts w:hint="eastAsia" w:ascii="仿宋" w:hAnsi="仿宋" w:eastAsia="仿宋" w:cs="Times New Roman"/>
          <w:color w:val="000000"/>
          <w:sz w:val="28"/>
          <w:szCs w:val="28"/>
          <w:lang w:eastAsia="zh-CN"/>
        </w:rPr>
        <w:t>，对标准的框架以及</w:t>
      </w:r>
      <w:r>
        <w:rPr>
          <w:rFonts w:hint="eastAsia" w:ascii="仿宋" w:hAnsi="仿宋" w:eastAsia="仿宋" w:cs="Times New Roman"/>
          <w:color w:val="000000"/>
          <w:sz w:val="28"/>
          <w:szCs w:val="28"/>
        </w:rPr>
        <w:t>关键</w:t>
      </w:r>
      <w:r>
        <w:rPr>
          <w:rFonts w:hint="eastAsia" w:ascii="仿宋" w:hAnsi="仿宋" w:eastAsia="仿宋" w:cs="Times New Roman"/>
          <w:color w:val="000000"/>
          <w:sz w:val="28"/>
          <w:szCs w:val="28"/>
          <w:lang w:eastAsia="zh-CN"/>
        </w:rPr>
        <w:t>技术</w:t>
      </w:r>
      <w:r>
        <w:rPr>
          <w:rFonts w:hint="eastAsia" w:ascii="仿宋" w:hAnsi="仿宋" w:eastAsia="仿宋" w:cs="Times New Roman"/>
          <w:color w:val="000000"/>
          <w:sz w:val="28"/>
          <w:szCs w:val="28"/>
        </w:rPr>
        <w:t>问题</w:t>
      </w:r>
      <w:r>
        <w:rPr>
          <w:rFonts w:hint="eastAsia" w:ascii="仿宋" w:hAnsi="仿宋" w:eastAsia="仿宋" w:cs="Times New Roman"/>
          <w:color w:val="000000"/>
          <w:sz w:val="28"/>
          <w:szCs w:val="28"/>
          <w:lang w:eastAsia="zh-CN"/>
        </w:rPr>
        <w:t>进行了</w:t>
      </w:r>
      <w:r>
        <w:rPr>
          <w:rFonts w:hint="eastAsia" w:ascii="仿宋" w:hAnsi="仿宋" w:eastAsia="仿宋" w:cs="Times New Roman"/>
          <w:color w:val="000000"/>
          <w:sz w:val="28"/>
          <w:szCs w:val="28"/>
        </w:rPr>
        <w:t>探讨</w:t>
      </w:r>
      <w:r>
        <w:rPr>
          <w:rFonts w:hint="eastAsia" w:ascii="仿宋" w:hAnsi="仿宋" w:eastAsia="仿宋" w:cs="Times New Roman"/>
          <w:color w:val="000000"/>
          <w:sz w:val="28"/>
          <w:szCs w:val="28"/>
          <w:lang w:eastAsia="zh-CN"/>
        </w:rPr>
        <w:t>，明确了</w:t>
      </w:r>
      <w:r>
        <w:rPr>
          <w:rFonts w:hint="eastAsia" w:ascii="仿宋" w:hAnsi="仿宋" w:eastAsia="仿宋" w:cs="Times New Roman"/>
          <w:color w:val="000000"/>
          <w:sz w:val="28"/>
          <w:szCs w:val="28"/>
        </w:rPr>
        <w:t>任务分工</w:t>
      </w:r>
      <w:r>
        <w:rPr>
          <w:rFonts w:hint="eastAsia" w:ascii="仿宋" w:hAnsi="仿宋" w:eastAsia="仿宋" w:cs="Times New Roman"/>
          <w:color w:val="000000"/>
          <w:sz w:val="28"/>
          <w:szCs w:val="28"/>
          <w:lang w:eastAsia="zh-CN"/>
        </w:rPr>
        <w:t>及时间计划</w:t>
      </w:r>
      <w:r>
        <w:rPr>
          <w:rFonts w:hint="eastAsia" w:ascii="仿宋" w:hAnsi="仿宋" w:eastAsia="仿宋" w:cs="Times New Roman"/>
          <w:color w:val="000000"/>
          <w:sz w:val="28"/>
          <w:szCs w:val="28"/>
        </w:rPr>
        <w:t>等。</w:t>
      </w:r>
    </w:p>
    <w:p w14:paraId="4E95F49C">
      <w:pPr>
        <w:adjustRightInd w:val="0"/>
        <w:snapToGrid w:val="0"/>
        <w:spacing w:line="276" w:lineRule="auto"/>
        <w:ind w:firstLine="602" w:firstLineChars="200"/>
        <w:rPr>
          <w:rFonts w:ascii="仿宋" w:hAnsi="仿宋" w:eastAsia="仿宋" w:cs="Times New Roman"/>
          <w:b/>
          <w:color w:val="000000"/>
          <w:sz w:val="30"/>
          <w:szCs w:val="30"/>
        </w:rPr>
      </w:pPr>
      <w:r>
        <w:rPr>
          <w:rFonts w:hint="eastAsia" w:ascii="仿宋" w:hAnsi="仿宋" w:eastAsia="仿宋" w:cs="Times New Roman"/>
          <w:b/>
          <w:color w:val="000000"/>
          <w:sz w:val="30"/>
          <w:szCs w:val="30"/>
        </w:rPr>
        <w:t>2）起草阶段</w:t>
      </w:r>
    </w:p>
    <w:p w14:paraId="0E49BB62">
      <w:pPr>
        <w:adjustRightInd w:val="0"/>
        <w:snapToGrid w:val="0"/>
        <w:spacing w:line="276" w:lineRule="auto"/>
        <w:ind w:firstLine="560" w:firstLineChars="200"/>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本标准起草采用分工协作的方式进行。</w:t>
      </w:r>
    </w:p>
    <w:p w14:paraId="467E686F">
      <w:pPr>
        <w:adjustRightInd w:val="0"/>
        <w:snapToGrid w:val="0"/>
        <w:spacing w:line="276" w:lineRule="auto"/>
        <w:ind w:firstLine="560" w:firstLineChars="200"/>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20</w:t>
      </w:r>
      <w:r>
        <w:rPr>
          <w:rFonts w:hint="eastAsia" w:ascii="仿宋" w:hAnsi="仿宋" w:eastAsia="仿宋" w:cs="Times New Roman"/>
          <w:color w:val="000000"/>
          <w:sz w:val="28"/>
          <w:szCs w:val="28"/>
          <w:lang w:val="en-US" w:eastAsia="zh-CN"/>
        </w:rPr>
        <w:t>24</w:t>
      </w:r>
      <w:r>
        <w:rPr>
          <w:rFonts w:hint="eastAsia" w:ascii="仿宋" w:hAnsi="仿宋" w:eastAsia="仿宋" w:cs="Times New Roman"/>
          <w:color w:val="000000"/>
          <w:sz w:val="28"/>
          <w:szCs w:val="28"/>
        </w:rPr>
        <w:t>年</w:t>
      </w:r>
      <w:r>
        <w:rPr>
          <w:rFonts w:hint="eastAsia" w:ascii="仿宋" w:hAnsi="仿宋" w:eastAsia="仿宋" w:cs="Times New Roman"/>
          <w:color w:val="000000"/>
          <w:sz w:val="28"/>
          <w:szCs w:val="28"/>
          <w:lang w:val="en-US" w:eastAsia="zh-CN"/>
        </w:rPr>
        <w:t>6</w:t>
      </w:r>
      <w:r>
        <w:rPr>
          <w:rFonts w:hint="eastAsia" w:ascii="仿宋" w:hAnsi="仿宋" w:eastAsia="仿宋" w:cs="Times New Roman"/>
          <w:color w:val="000000"/>
          <w:sz w:val="28"/>
          <w:szCs w:val="28"/>
        </w:rPr>
        <w:t>月-</w:t>
      </w:r>
      <w:r>
        <w:rPr>
          <w:rFonts w:hint="eastAsia" w:ascii="仿宋" w:hAnsi="仿宋" w:eastAsia="仿宋" w:cs="Times New Roman"/>
          <w:color w:val="000000"/>
          <w:sz w:val="28"/>
          <w:szCs w:val="28"/>
          <w:lang w:val="en-US" w:eastAsia="zh-CN"/>
        </w:rPr>
        <w:t>2025年2</w:t>
      </w:r>
      <w:r>
        <w:rPr>
          <w:rFonts w:hint="eastAsia" w:ascii="仿宋" w:hAnsi="仿宋" w:eastAsia="仿宋" w:cs="Times New Roman"/>
          <w:color w:val="000000"/>
          <w:sz w:val="28"/>
          <w:szCs w:val="28"/>
        </w:rPr>
        <w:t>月，</w:t>
      </w:r>
      <w:r>
        <w:rPr>
          <w:rFonts w:hint="eastAsia" w:ascii="仿宋" w:hAnsi="仿宋" w:eastAsia="仿宋" w:cs="Times New Roman"/>
          <w:color w:val="000000"/>
          <w:sz w:val="28"/>
          <w:szCs w:val="28"/>
          <w:lang w:eastAsia="zh-CN"/>
        </w:rPr>
        <w:t>牵头单位</w:t>
      </w:r>
      <w:r>
        <w:rPr>
          <w:rFonts w:hint="eastAsia" w:ascii="仿宋" w:hAnsi="仿宋" w:eastAsia="仿宋" w:cs="Times New Roman"/>
          <w:color w:val="000000"/>
          <w:sz w:val="28"/>
          <w:szCs w:val="28"/>
        </w:rPr>
        <w:t>广泛搜集了相关资料，进行认真分析、积极讨论，</w:t>
      </w:r>
      <w:r>
        <w:rPr>
          <w:rFonts w:hint="eastAsia" w:ascii="仿宋" w:hAnsi="仿宋" w:eastAsia="仿宋" w:cs="Times New Roman"/>
          <w:color w:val="000000"/>
          <w:sz w:val="28"/>
          <w:szCs w:val="28"/>
          <w:lang w:eastAsia="zh-CN"/>
        </w:rPr>
        <w:t>编制实施方案，</w:t>
      </w:r>
      <w:r>
        <w:rPr>
          <w:rFonts w:hint="eastAsia" w:ascii="仿宋" w:hAnsi="仿宋" w:eastAsia="仿宋" w:cs="Times New Roman"/>
          <w:color w:val="000000"/>
          <w:sz w:val="28"/>
          <w:szCs w:val="28"/>
        </w:rPr>
        <w:t>起草了修订大纲。</w:t>
      </w:r>
    </w:p>
    <w:p w14:paraId="50084DAC">
      <w:pPr>
        <w:adjustRightInd w:val="0"/>
        <w:snapToGrid w:val="0"/>
        <w:spacing w:line="276" w:lineRule="auto"/>
        <w:ind w:firstLine="560" w:firstLineChars="200"/>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202</w:t>
      </w:r>
      <w:r>
        <w:rPr>
          <w:rFonts w:hint="eastAsia" w:ascii="仿宋" w:hAnsi="仿宋" w:eastAsia="仿宋" w:cs="Times New Roman"/>
          <w:color w:val="000000"/>
          <w:sz w:val="28"/>
          <w:szCs w:val="28"/>
          <w:lang w:val="en-US" w:eastAsia="zh-CN"/>
        </w:rPr>
        <w:t>5</w:t>
      </w:r>
      <w:r>
        <w:rPr>
          <w:rFonts w:hint="eastAsia" w:ascii="仿宋" w:hAnsi="仿宋" w:eastAsia="仿宋" w:cs="Times New Roman"/>
          <w:color w:val="000000"/>
          <w:sz w:val="28"/>
          <w:szCs w:val="28"/>
        </w:rPr>
        <w:t>年</w:t>
      </w:r>
      <w:r>
        <w:rPr>
          <w:rFonts w:hint="eastAsia" w:ascii="仿宋" w:hAnsi="仿宋" w:eastAsia="仿宋" w:cs="Times New Roman"/>
          <w:color w:val="000000"/>
          <w:sz w:val="28"/>
          <w:szCs w:val="28"/>
          <w:lang w:val="en-US" w:eastAsia="zh-CN"/>
        </w:rPr>
        <w:t>3</w:t>
      </w:r>
      <w:r>
        <w:rPr>
          <w:rFonts w:hint="eastAsia" w:ascii="仿宋" w:hAnsi="仿宋" w:eastAsia="仿宋" w:cs="Times New Roman"/>
          <w:color w:val="000000"/>
          <w:sz w:val="28"/>
          <w:szCs w:val="28"/>
        </w:rPr>
        <w:t>月，</w:t>
      </w:r>
      <w:r>
        <w:rPr>
          <w:rFonts w:hint="eastAsia" w:ascii="仿宋" w:hAnsi="仿宋" w:eastAsia="仿宋" w:cs="Times New Roman"/>
          <w:color w:val="000000"/>
          <w:sz w:val="28"/>
          <w:szCs w:val="28"/>
          <w:lang w:val="en-US" w:eastAsia="zh-CN"/>
        </w:rPr>
        <w:t>课题组召开初稿研讨会，</w:t>
      </w:r>
      <w:r>
        <w:rPr>
          <w:rFonts w:hint="eastAsia" w:ascii="仿宋" w:hAnsi="仿宋" w:eastAsia="仿宋" w:cs="Times New Roman"/>
          <w:color w:val="000000"/>
          <w:sz w:val="28"/>
          <w:szCs w:val="28"/>
        </w:rPr>
        <w:t>主编单位</w:t>
      </w:r>
      <w:r>
        <w:rPr>
          <w:rFonts w:hint="eastAsia" w:ascii="仿宋" w:hAnsi="仿宋" w:eastAsia="仿宋" w:cs="Times New Roman"/>
          <w:color w:val="000000"/>
          <w:sz w:val="28"/>
          <w:szCs w:val="28"/>
          <w:lang w:val="en-US" w:eastAsia="zh-CN"/>
        </w:rPr>
        <w:t>和参编单位就修订意见进行研讨，确认修改意见，分配修订工作</w:t>
      </w:r>
      <w:r>
        <w:rPr>
          <w:rFonts w:hint="eastAsia" w:ascii="仿宋" w:hAnsi="仿宋" w:eastAsia="仿宋" w:cs="Times New Roman"/>
          <w:color w:val="000000"/>
          <w:sz w:val="28"/>
          <w:szCs w:val="28"/>
        </w:rPr>
        <w:t>。</w:t>
      </w:r>
    </w:p>
    <w:p w14:paraId="5901CCE1">
      <w:pPr>
        <w:adjustRightInd w:val="0"/>
        <w:snapToGrid w:val="0"/>
        <w:spacing w:line="276" w:lineRule="auto"/>
        <w:ind w:firstLine="560" w:firstLineChars="200"/>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202</w:t>
      </w:r>
      <w:r>
        <w:rPr>
          <w:rFonts w:hint="eastAsia" w:ascii="仿宋" w:hAnsi="仿宋" w:eastAsia="仿宋" w:cs="Times New Roman"/>
          <w:color w:val="000000"/>
          <w:sz w:val="28"/>
          <w:szCs w:val="28"/>
          <w:lang w:val="en-US" w:eastAsia="zh-CN"/>
        </w:rPr>
        <w:t>5</w:t>
      </w:r>
      <w:r>
        <w:rPr>
          <w:rFonts w:hint="eastAsia" w:ascii="仿宋" w:hAnsi="仿宋" w:eastAsia="仿宋" w:cs="Times New Roman"/>
          <w:color w:val="000000"/>
          <w:sz w:val="28"/>
          <w:szCs w:val="28"/>
        </w:rPr>
        <w:t>年4月</w:t>
      </w:r>
      <w:r>
        <w:rPr>
          <w:rFonts w:hint="eastAsia" w:ascii="仿宋" w:hAnsi="仿宋" w:eastAsia="仿宋" w:cs="Times New Roman"/>
          <w:color w:val="000000"/>
          <w:sz w:val="28"/>
          <w:szCs w:val="28"/>
          <w:lang w:val="en-US" w:eastAsia="zh-CN"/>
        </w:rPr>
        <w:t>-5月</w:t>
      </w:r>
      <w:r>
        <w:rPr>
          <w:rFonts w:hint="eastAsia" w:ascii="仿宋" w:hAnsi="仿宋" w:eastAsia="仿宋" w:cs="Times New Roman"/>
          <w:color w:val="000000"/>
          <w:sz w:val="28"/>
          <w:szCs w:val="28"/>
        </w:rPr>
        <w:t>，主编单位进一步梳理部分技术内容，并统稿形成征求意见稿初稿。主编单位征求课题组全体成员对征求意见稿初稿的意见</w:t>
      </w:r>
      <w:r>
        <w:rPr>
          <w:rFonts w:hint="eastAsia" w:ascii="仿宋" w:hAnsi="仿宋" w:eastAsia="仿宋" w:cs="Times New Roman"/>
          <w:color w:val="000000"/>
          <w:sz w:val="28"/>
          <w:szCs w:val="28"/>
          <w:lang w:eastAsia="zh-CN"/>
        </w:rPr>
        <w:t>，</w:t>
      </w:r>
      <w:r>
        <w:rPr>
          <w:rFonts w:hint="eastAsia" w:ascii="仿宋" w:hAnsi="仿宋" w:eastAsia="仿宋" w:cs="Times New Roman"/>
          <w:color w:val="000000"/>
          <w:sz w:val="28"/>
          <w:szCs w:val="28"/>
        </w:rPr>
        <w:t>在分析反馈意见的基础上，经进一步修改完善形成标准征求意见稿。</w:t>
      </w:r>
    </w:p>
    <w:p w14:paraId="41F498E2">
      <w:pPr>
        <w:adjustRightInd w:val="0"/>
        <w:snapToGrid w:val="0"/>
        <w:spacing w:line="276" w:lineRule="auto"/>
        <w:ind w:firstLine="560" w:firstLineChars="200"/>
        <w:rPr>
          <w:rFonts w:ascii="仿宋" w:hAnsi="仿宋" w:eastAsia="仿宋" w:cs="Times New Roman"/>
          <w:color w:val="000000"/>
          <w:sz w:val="28"/>
          <w:szCs w:val="28"/>
        </w:rPr>
      </w:pPr>
      <w:r>
        <w:rPr>
          <w:rFonts w:hint="eastAsia" w:ascii="仿宋" w:hAnsi="仿宋" w:eastAsia="仿宋" w:cs="Times New Roman"/>
          <w:color w:val="000000"/>
          <w:sz w:val="28"/>
          <w:szCs w:val="28"/>
        </w:rPr>
        <w:t>在编制过程中，编制组积极利用微信群、电子邮件、即时通信等手段，对有关问题进行了较为充分的沟通和讨论。</w:t>
      </w:r>
    </w:p>
    <w:p w14:paraId="656D6B13">
      <w:pPr>
        <w:adjustRightInd w:val="0"/>
        <w:snapToGrid w:val="0"/>
        <w:spacing w:line="276" w:lineRule="auto"/>
        <w:ind w:firstLine="602" w:firstLineChars="200"/>
        <w:rPr>
          <w:rFonts w:ascii="仿宋" w:hAnsi="仿宋" w:eastAsia="仿宋" w:cs="Times New Roman"/>
          <w:b/>
          <w:color w:val="000000"/>
          <w:sz w:val="30"/>
          <w:szCs w:val="30"/>
        </w:rPr>
      </w:pPr>
      <w:r>
        <w:rPr>
          <w:rFonts w:hint="eastAsia" w:ascii="仿宋" w:hAnsi="仿宋" w:eastAsia="仿宋" w:cs="Times New Roman"/>
          <w:b/>
          <w:color w:val="000000"/>
          <w:sz w:val="30"/>
          <w:szCs w:val="30"/>
        </w:rPr>
        <w:t>3）征求意见</w:t>
      </w:r>
    </w:p>
    <w:p w14:paraId="57F426DF">
      <w:pPr>
        <w:adjustRightInd w:val="0"/>
        <w:snapToGrid w:val="0"/>
        <w:spacing w:line="276" w:lineRule="auto"/>
        <w:ind w:firstLine="560" w:firstLineChars="200"/>
        <w:rPr>
          <w:rFonts w:hint="eastAsia" w:ascii="仿宋" w:hAnsi="仿宋" w:eastAsia="仿宋" w:cs="Times New Roman"/>
          <w:color w:val="000000"/>
          <w:sz w:val="28"/>
          <w:szCs w:val="28"/>
          <w:lang w:val="en-US" w:eastAsia="zh-CN"/>
        </w:rPr>
      </w:pPr>
      <w:r>
        <w:rPr>
          <w:rFonts w:hint="eastAsia" w:ascii="仿宋" w:hAnsi="仿宋" w:eastAsia="仿宋" w:cs="Times New Roman"/>
          <w:color w:val="000000"/>
          <w:sz w:val="28"/>
          <w:szCs w:val="28"/>
          <w:lang w:val="en-US" w:eastAsia="zh-CN"/>
        </w:rPr>
        <w:t>暂略。</w:t>
      </w:r>
    </w:p>
    <w:p w14:paraId="5A861468">
      <w:pPr>
        <w:adjustRightInd w:val="0"/>
        <w:snapToGrid w:val="0"/>
        <w:spacing w:line="276" w:lineRule="auto"/>
        <w:ind w:firstLine="602" w:firstLineChars="200"/>
        <w:rPr>
          <w:rFonts w:ascii="仿宋" w:hAnsi="仿宋" w:eastAsia="仿宋" w:cs="Times New Roman"/>
          <w:b/>
          <w:color w:val="000000"/>
          <w:sz w:val="30"/>
          <w:szCs w:val="30"/>
        </w:rPr>
      </w:pPr>
      <w:r>
        <w:rPr>
          <w:rFonts w:hint="eastAsia" w:ascii="仿宋" w:hAnsi="仿宋" w:eastAsia="仿宋" w:cs="Times New Roman"/>
          <w:b/>
          <w:color w:val="000000"/>
          <w:sz w:val="30"/>
          <w:szCs w:val="30"/>
        </w:rPr>
        <w:t>4）送审阶段</w:t>
      </w:r>
    </w:p>
    <w:p w14:paraId="67FDED6C">
      <w:pPr>
        <w:adjustRightInd w:val="0"/>
        <w:snapToGrid w:val="0"/>
        <w:spacing w:line="276" w:lineRule="auto"/>
        <w:ind w:firstLine="560" w:firstLineChars="200"/>
        <w:rPr>
          <w:rFonts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暂略。</w:t>
      </w:r>
    </w:p>
    <w:p w14:paraId="668170F2">
      <w:pPr>
        <w:adjustRightInd w:val="0"/>
        <w:snapToGrid w:val="0"/>
        <w:spacing w:line="276" w:lineRule="auto"/>
        <w:ind w:firstLine="602" w:firstLineChars="200"/>
        <w:rPr>
          <w:rFonts w:ascii="仿宋" w:hAnsi="仿宋" w:eastAsia="仿宋" w:cs="Times New Roman"/>
          <w:b/>
          <w:color w:val="000000"/>
          <w:sz w:val="30"/>
          <w:szCs w:val="30"/>
        </w:rPr>
      </w:pPr>
      <w:r>
        <w:rPr>
          <w:rFonts w:hint="eastAsia" w:ascii="仿宋" w:hAnsi="仿宋" w:eastAsia="仿宋" w:cs="Times New Roman"/>
          <w:b/>
          <w:color w:val="000000"/>
          <w:sz w:val="30"/>
          <w:szCs w:val="30"/>
        </w:rPr>
        <w:t>5）报批阶段</w:t>
      </w:r>
    </w:p>
    <w:p w14:paraId="59E21E86">
      <w:pPr>
        <w:adjustRightInd w:val="0"/>
        <w:snapToGrid w:val="0"/>
        <w:spacing w:line="276" w:lineRule="auto"/>
        <w:ind w:firstLine="560" w:firstLineChars="200"/>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暂略</w:t>
      </w:r>
      <w:r>
        <w:rPr>
          <w:rFonts w:hint="eastAsia" w:ascii="仿宋" w:hAnsi="仿宋" w:eastAsia="仿宋" w:cs="Times New Roman"/>
          <w:color w:val="000000"/>
          <w:sz w:val="28"/>
          <w:szCs w:val="28"/>
        </w:rPr>
        <w:t>。</w:t>
      </w:r>
    </w:p>
    <w:p w14:paraId="729E94A1">
      <w:pPr>
        <w:pStyle w:val="3"/>
        <w:keepNext w:val="0"/>
        <w:keepLines w:val="0"/>
        <w:numPr>
          <w:ilvl w:val="0"/>
          <w:numId w:val="1"/>
        </w:numPr>
        <w:spacing w:before="120" w:after="120" w:line="240" w:lineRule="auto"/>
        <w:ind w:left="0" w:firstLine="0"/>
        <w:rPr>
          <w:rFonts w:ascii="黑体" w:hAnsi="黑体" w:eastAsia="黑体" w:cs="Times New Roman"/>
          <w:b w:val="0"/>
        </w:rPr>
      </w:pPr>
      <w:r>
        <w:rPr>
          <w:rFonts w:hint="eastAsia" w:ascii="黑体" w:hAnsi="黑体" w:eastAsia="黑体" w:cs="Times New Roman"/>
          <w:b w:val="0"/>
        </w:rPr>
        <w:t>国家标准编制原则</w:t>
      </w:r>
      <w:r>
        <w:rPr>
          <w:rFonts w:hint="eastAsia" w:ascii="黑体" w:hAnsi="黑体" w:eastAsia="黑体"/>
          <w:b w:val="0"/>
        </w:rPr>
        <w:t>、主要内容及其确定依据，修订国家标准时，还包括修订前后技术内容的对比</w:t>
      </w:r>
    </w:p>
    <w:p w14:paraId="12655C01">
      <w:pPr>
        <w:pStyle w:val="25"/>
        <w:numPr>
          <w:ilvl w:val="0"/>
          <w:numId w:val="4"/>
        </w:numPr>
        <w:ind w:firstLineChars="0"/>
        <w:rPr>
          <w:rFonts w:ascii="仿宋" w:hAnsi="仿宋" w:eastAsia="仿宋" w:cs="Times New Roman"/>
          <w:b/>
          <w:sz w:val="30"/>
          <w:szCs w:val="30"/>
        </w:rPr>
      </w:pPr>
      <w:r>
        <w:rPr>
          <w:rFonts w:ascii="仿宋" w:hAnsi="仿宋" w:eastAsia="仿宋" w:cs="Times New Roman"/>
          <w:b/>
          <w:sz w:val="30"/>
          <w:szCs w:val="30"/>
        </w:rPr>
        <w:t>编制原则</w:t>
      </w:r>
    </w:p>
    <w:p w14:paraId="0DFCA65F">
      <w:pPr>
        <w:adjustRightInd w:val="0"/>
        <w:snapToGrid w:val="0"/>
        <w:spacing w:line="276" w:lineRule="auto"/>
        <w:ind w:firstLine="600" w:firstLineChars="200"/>
        <w:rPr>
          <w:rFonts w:hint="eastAsia" w:ascii="仿宋" w:hAnsi="仿宋" w:eastAsia="仿宋" w:cs="Times New Roman"/>
          <w:color w:val="000000"/>
          <w:sz w:val="30"/>
          <w:szCs w:val="30"/>
        </w:rPr>
      </w:pPr>
      <w:r>
        <w:rPr>
          <w:rFonts w:hint="eastAsia" w:ascii="仿宋" w:hAnsi="仿宋" w:eastAsia="仿宋" w:cs="Times New Roman"/>
          <w:color w:val="000000"/>
          <w:sz w:val="30"/>
          <w:szCs w:val="30"/>
        </w:rPr>
        <w:t>本标准编制中认真遵循了先进性、实用性、协调性和规范性等原则，并重点把握了以下几个方面：</w:t>
      </w:r>
    </w:p>
    <w:p w14:paraId="2229A87D">
      <w:pPr>
        <w:adjustRightInd w:val="0"/>
        <w:snapToGrid w:val="0"/>
        <w:spacing w:line="276" w:lineRule="auto"/>
        <w:ind w:firstLine="600" w:firstLineChars="200"/>
        <w:rPr>
          <w:rFonts w:hint="eastAsia" w:ascii="仿宋" w:hAnsi="仿宋" w:eastAsia="仿宋" w:cs="Times New Roman"/>
          <w:color w:val="000000"/>
          <w:sz w:val="30"/>
          <w:szCs w:val="30"/>
        </w:rPr>
      </w:pPr>
      <w:r>
        <w:rPr>
          <w:rFonts w:hint="eastAsia" w:ascii="仿宋" w:hAnsi="仿宋" w:eastAsia="仿宋" w:cs="Times New Roman"/>
          <w:color w:val="000000"/>
          <w:sz w:val="30"/>
          <w:szCs w:val="30"/>
        </w:rPr>
        <w:t>1）一致性</w:t>
      </w:r>
    </w:p>
    <w:p w14:paraId="43B69BDB">
      <w:pPr>
        <w:adjustRightInd w:val="0"/>
        <w:snapToGrid w:val="0"/>
        <w:spacing w:line="276" w:lineRule="auto"/>
        <w:ind w:firstLine="600" w:firstLineChars="200"/>
        <w:rPr>
          <w:rFonts w:hint="eastAsia" w:ascii="仿宋" w:hAnsi="仿宋" w:eastAsia="仿宋" w:cs="Times New Roman"/>
          <w:color w:val="000000"/>
          <w:sz w:val="30"/>
          <w:szCs w:val="30"/>
        </w:rPr>
      </w:pPr>
      <w:r>
        <w:rPr>
          <w:rFonts w:hint="eastAsia" w:ascii="仿宋" w:hAnsi="仿宋" w:eastAsia="仿宋" w:cs="Times New Roman"/>
          <w:color w:val="000000"/>
          <w:sz w:val="30"/>
          <w:szCs w:val="30"/>
        </w:rPr>
        <w:t>本标准在编制过程中，所涉及到的概念、名词、分级要同相关标准保持一致性和延续性，避免矛盾、冲突和不一致的情况，方便工程的使用和理解的一致性。</w:t>
      </w:r>
    </w:p>
    <w:p w14:paraId="4D6406DB">
      <w:pPr>
        <w:adjustRightInd w:val="0"/>
        <w:snapToGrid w:val="0"/>
        <w:spacing w:line="276" w:lineRule="auto"/>
        <w:ind w:firstLine="600" w:firstLineChars="200"/>
        <w:rPr>
          <w:rFonts w:hint="eastAsia" w:ascii="仿宋" w:hAnsi="仿宋" w:eastAsia="仿宋" w:cs="Times New Roman"/>
          <w:color w:val="000000"/>
          <w:sz w:val="30"/>
          <w:szCs w:val="30"/>
        </w:rPr>
      </w:pPr>
      <w:r>
        <w:rPr>
          <w:rFonts w:hint="eastAsia" w:ascii="仿宋" w:hAnsi="仿宋" w:eastAsia="仿宋" w:cs="Times New Roman"/>
          <w:color w:val="000000"/>
          <w:sz w:val="30"/>
          <w:szCs w:val="30"/>
        </w:rPr>
        <w:t>2）通用性</w:t>
      </w:r>
    </w:p>
    <w:p w14:paraId="49EEF0A8">
      <w:pPr>
        <w:adjustRightInd w:val="0"/>
        <w:snapToGrid w:val="0"/>
        <w:spacing w:line="276" w:lineRule="auto"/>
        <w:ind w:firstLine="600" w:firstLineChars="200"/>
        <w:rPr>
          <w:rFonts w:hint="eastAsia" w:ascii="仿宋" w:hAnsi="仿宋" w:eastAsia="仿宋" w:cs="Times New Roman"/>
          <w:color w:val="000000"/>
          <w:sz w:val="30"/>
          <w:szCs w:val="30"/>
        </w:rPr>
      </w:pPr>
      <w:r>
        <w:rPr>
          <w:rFonts w:hint="eastAsia" w:ascii="仿宋" w:hAnsi="仿宋" w:eastAsia="仿宋" w:cs="Times New Roman"/>
          <w:color w:val="000000"/>
          <w:sz w:val="30"/>
          <w:szCs w:val="30"/>
          <w:lang w:val="en-US" w:eastAsia="zh-CN"/>
        </w:rPr>
        <w:t>一、二等水准测量</w:t>
      </w:r>
      <w:r>
        <w:rPr>
          <w:rFonts w:hint="eastAsia" w:ascii="仿宋" w:hAnsi="仿宋" w:eastAsia="仿宋" w:cs="Times New Roman"/>
          <w:color w:val="000000"/>
          <w:sz w:val="30"/>
          <w:szCs w:val="30"/>
        </w:rPr>
        <w:t>涵盖的领域很广，测量的技术方法众多，本标准仅对通用的技术方法、公共性的、基础性的指标和要求进行约束，强调标准的基础性和通用性，其他一些特殊的技术方法和要求应在相应的行业标准中体现。</w:t>
      </w:r>
    </w:p>
    <w:p w14:paraId="2E1B1A92">
      <w:pPr>
        <w:adjustRightInd w:val="0"/>
        <w:snapToGrid w:val="0"/>
        <w:spacing w:line="276" w:lineRule="auto"/>
        <w:ind w:firstLine="600" w:firstLineChars="200"/>
        <w:rPr>
          <w:rFonts w:hint="eastAsia" w:ascii="仿宋" w:hAnsi="仿宋" w:eastAsia="仿宋" w:cs="Times New Roman"/>
          <w:color w:val="000000"/>
          <w:sz w:val="30"/>
          <w:szCs w:val="30"/>
        </w:rPr>
      </w:pPr>
      <w:r>
        <w:rPr>
          <w:rFonts w:hint="eastAsia" w:ascii="仿宋" w:hAnsi="仿宋" w:eastAsia="仿宋" w:cs="Times New Roman"/>
          <w:color w:val="000000"/>
          <w:sz w:val="30"/>
          <w:szCs w:val="30"/>
        </w:rPr>
        <w:t>3）科学性</w:t>
      </w:r>
    </w:p>
    <w:p w14:paraId="55FFF316">
      <w:pPr>
        <w:adjustRightInd w:val="0"/>
        <w:snapToGrid w:val="0"/>
        <w:spacing w:line="276" w:lineRule="auto"/>
        <w:ind w:firstLine="600" w:firstLineChars="200"/>
        <w:rPr>
          <w:rFonts w:hint="eastAsia" w:ascii="仿宋" w:hAnsi="仿宋" w:eastAsia="仿宋" w:cs="Times New Roman"/>
          <w:color w:val="000000"/>
          <w:sz w:val="30"/>
          <w:szCs w:val="30"/>
        </w:rPr>
      </w:pPr>
      <w:r>
        <w:rPr>
          <w:rFonts w:hint="eastAsia" w:ascii="仿宋" w:hAnsi="仿宋" w:eastAsia="仿宋" w:cs="Times New Roman"/>
          <w:color w:val="000000"/>
          <w:sz w:val="30"/>
          <w:szCs w:val="30"/>
        </w:rPr>
        <w:t>本标准在编制过程中，充分参考和借鉴国内外的法律法规和相关标准，所涉及到的具体指标要有充分的理论依据和成熟的技术支撑，编制的条款都应有科学的依据和出处。</w:t>
      </w:r>
    </w:p>
    <w:p w14:paraId="50A7DD9C">
      <w:pPr>
        <w:adjustRightInd w:val="0"/>
        <w:snapToGrid w:val="0"/>
        <w:spacing w:line="276" w:lineRule="auto"/>
        <w:ind w:firstLine="600" w:firstLineChars="200"/>
        <w:rPr>
          <w:rFonts w:hint="eastAsia" w:ascii="仿宋" w:hAnsi="仿宋" w:eastAsia="仿宋" w:cs="Times New Roman"/>
          <w:color w:val="000000"/>
          <w:sz w:val="30"/>
          <w:szCs w:val="30"/>
        </w:rPr>
      </w:pPr>
      <w:r>
        <w:rPr>
          <w:rFonts w:hint="eastAsia" w:ascii="仿宋" w:hAnsi="仿宋" w:eastAsia="仿宋" w:cs="Times New Roman"/>
          <w:color w:val="000000"/>
          <w:sz w:val="30"/>
          <w:szCs w:val="30"/>
        </w:rPr>
        <w:t>4）先进性</w:t>
      </w:r>
    </w:p>
    <w:p w14:paraId="2F6185B3">
      <w:pPr>
        <w:adjustRightInd w:val="0"/>
        <w:snapToGrid w:val="0"/>
        <w:spacing w:line="276" w:lineRule="auto"/>
        <w:ind w:firstLine="600" w:firstLineChars="200"/>
        <w:rPr>
          <w:rFonts w:hint="eastAsia" w:ascii="仿宋" w:hAnsi="仿宋" w:eastAsia="仿宋" w:cs="Times New Roman"/>
          <w:color w:val="000000"/>
          <w:sz w:val="30"/>
          <w:szCs w:val="30"/>
        </w:rPr>
      </w:pPr>
      <w:r>
        <w:rPr>
          <w:rFonts w:hint="eastAsia" w:ascii="仿宋" w:hAnsi="仿宋" w:eastAsia="仿宋" w:cs="Times New Roman"/>
          <w:color w:val="000000"/>
          <w:sz w:val="30"/>
          <w:szCs w:val="30"/>
        </w:rPr>
        <w:t>本标准在编制过程中既要考虑传统的、成熟的理论和技术，也要充分吸纳新的技术方法、信息保障、数据共享、信息化管理等方面内容，保证标准的适用性和先进性。</w:t>
      </w:r>
    </w:p>
    <w:p w14:paraId="548ABD06">
      <w:pPr>
        <w:adjustRightInd w:val="0"/>
        <w:snapToGrid w:val="0"/>
        <w:spacing w:line="276" w:lineRule="auto"/>
        <w:ind w:firstLine="600" w:firstLineChars="200"/>
        <w:rPr>
          <w:rFonts w:hint="eastAsia" w:ascii="仿宋" w:hAnsi="仿宋" w:eastAsia="仿宋" w:cs="Times New Roman"/>
          <w:color w:val="000000"/>
          <w:sz w:val="30"/>
          <w:szCs w:val="30"/>
        </w:rPr>
      </w:pPr>
      <w:r>
        <w:rPr>
          <w:rFonts w:hint="eastAsia" w:ascii="仿宋" w:hAnsi="仿宋" w:eastAsia="仿宋" w:cs="Times New Roman"/>
          <w:color w:val="000000"/>
          <w:sz w:val="30"/>
          <w:szCs w:val="30"/>
        </w:rPr>
        <w:t>5）稳定性</w:t>
      </w:r>
    </w:p>
    <w:p w14:paraId="2C6031F7">
      <w:pPr>
        <w:adjustRightInd w:val="0"/>
        <w:snapToGrid w:val="0"/>
        <w:spacing w:line="276" w:lineRule="auto"/>
        <w:ind w:firstLine="600" w:firstLineChars="200"/>
        <w:rPr>
          <w:rFonts w:hint="eastAsia" w:ascii="仿宋" w:hAnsi="仿宋" w:eastAsia="仿宋" w:cs="Times New Roman"/>
          <w:color w:val="000000"/>
          <w:sz w:val="30"/>
          <w:szCs w:val="30"/>
        </w:rPr>
      </w:pPr>
      <w:r>
        <w:rPr>
          <w:rFonts w:hint="eastAsia" w:ascii="仿宋" w:hAnsi="仿宋" w:eastAsia="仿宋" w:cs="Times New Roman"/>
          <w:color w:val="000000"/>
          <w:sz w:val="30"/>
          <w:szCs w:val="30"/>
        </w:rPr>
        <w:t>作为指导和规范</w:t>
      </w:r>
      <w:r>
        <w:rPr>
          <w:rFonts w:hint="eastAsia" w:ascii="仿宋" w:hAnsi="仿宋" w:eastAsia="仿宋" w:cs="Times New Roman"/>
          <w:color w:val="000000"/>
          <w:sz w:val="30"/>
          <w:szCs w:val="30"/>
          <w:lang w:val="en-US" w:eastAsia="zh-CN"/>
        </w:rPr>
        <w:t>一、二等水准测量</w:t>
      </w:r>
      <w:r>
        <w:rPr>
          <w:rFonts w:hint="eastAsia" w:ascii="仿宋" w:hAnsi="仿宋" w:eastAsia="仿宋" w:cs="Times New Roman"/>
          <w:color w:val="000000"/>
          <w:sz w:val="30"/>
          <w:szCs w:val="30"/>
        </w:rPr>
        <w:t>作业的技术标准，应具有实用性与可继承性。经典的一些</w:t>
      </w:r>
      <w:r>
        <w:rPr>
          <w:rFonts w:hint="eastAsia" w:ascii="仿宋" w:hAnsi="仿宋" w:eastAsia="仿宋" w:cs="Times New Roman"/>
          <w:color w:val="000000"/>
          <w:sz w:val="30"/>
          <w:szCs w:val="30"/>
          <w:lang w:val="en-US" w:eastAsia="zh-CN"/>
        </w:rPr>
        <w:t>一、二等水准测量</w:t>
      </w:r>
      <w:r>
        <w:rPr>
          <w:rFonts w:hint="eastAsia" w:ascii="仿宋" w:hAnsi="仿宋" w:eastAsia="仿宋" w:cs="Times New Roman"/>
          <w:color w:val="000000"/>
          <w:sz w:val="30"/>
          <w:szCs w:val="30"/>
        </w:rPr>
        <w:t>方法和手段予以保留和继承以保持测绘生产的延续性以及</w:t>
      </w:r>
      <w:r>
        <w:rPr>
          <w:rFonts w:hint="eastAsia" w:ascii="仿宋" w:hAnsi="仿宋" w:eastAsia="仿宋" w:cs="Times New Roman"/>
          <w:color w:val="000000"/>
          <w:sz w:val="30"/>
          <w:szCs w:val="30"/>
          <w:lang w:val="en-US" w:eastAsia="zh-CN"/>
        </w:rPr>
        <w:t>一、二等水准测量</w:t>
      </w:r>
      <w:r>
        <w:rPr>
          <w:rFonts w:hint="eastAsia" w:ascii="仿宋" w:hAnsi="仿宋" w:eastAsia="仿宋" w:cs="Times New Roman"/>
          <w:color w:val="000000"/>
          <w:sz w:val="30"/>
          <w:szCs w:val="30"/>
        </w:rPr>
        <w:t>成果的可靠性。因此，本标准修订</w:t>
      </w:r>
      <w:r>
        <w:rPr>
          <w:rFonts w:hint="eastAsia" w:ascii="仿宋" w:hAnsi="仿宋" w:eastAsia="仿宋" w:cs="Times New Roman"/>
          <w:color w:val="000000"/>
          <w:sz w:val="30"/>
          <w:szCs w:val="30"/>
          <w:lang w:val="en-US" w:eastAsia="zh-CN"/>
        </w:rPr>
        <w:t>时，</w:t>
      </w:r>
      <w:r>
        <w:rPr>
          <w:rFonts w:hint="eastAsia" w:ascii="仿宋" w:hAnsi="仿宋" w:eastAsia="仿宋" w:cs="Times New Roman"/>
          <w:color w:val="000000"/>
          <w:sz w:val="30"/>
          <w:szCs w:val="30"/>
        </w:rPr>
        <w:t>新增一些</w:t>
      </w:r>
      <w:r>
        <w:rPr>
          <w:rFonts w:hint="eastAsia" w:ascii="仿宋" w:hAnsi="仿宋" w:eastAsia="仿宋" w:cs="Times New Roman"/>
          <w:color w:val="000000"/>
          <w:sz w:val="30"/>
          <w:szCs w:val="30"/>
          <w:lang w:val="en-US" w:eastAsia="zh-CN"/>
        </w:rPr>
        <w:t>新的技术要求</w:t>
      </w:r>
      <w:r>
        <w:rPr>
          <w:rFonts w:hint="eastAsia" w:ascii="仿宋" w:hAnsi="仿宋" w:eastAsia="仿宋" w:cs="Times New Roman"/>
          <w:color w:val="000000"/>
          <w:sz w:val="30"/>
          <w:szCs w:val="30"/>
        </w:rPr>
        <w:t>，修改一些不适用的技术要求。保持标准整体的稳定性。</w:t>
      </w:r>
    </w:p>
    <w:p w14:paraId="46E481DC">
      <w:pPr>
        <w:adjustRightInd w:val="0"/>
        <w:snapToGrid w:val="0"/>
        <w:spacing w:line="276" w:lineRule="auto"/>
        <w:ind w:firstLine="600" w:firstLineChars="200"/>
        <w:rPr>
          <w:rFonts w:hint="eastAsia" w:ascii="仿宋" w:hAnsi="仿宋" w:eastAsia="仿宋" w:cs="Times New Roman"/>
          <w:color w:val="000000"/>
          <w:sz w:val="30"/>
          <w:szCs w:val="30"/>
        </w:rPr>
      </w:pPr>
      <w:r>
        <w:rPr>
          <w:rFonts w:hint="eastAsia" w:ascii="仿宋" w:hAnsi="仿宋" w:eastAsia="仿宋" w:cs="Times New Roman"/>
          <w:color w:val="000000"/>
          <w:sz w:val="30"/>
          <w:szCs w:val="30"/>
        </w:rPr>
        <w:t>6）体系性</w:t>
      </w:r>
    </w:p>
    <w:p w14:paraId="630A0885">
      <w:pPr>
        <w:adjustRightInd w:val="0"/>
        <w:snapToGrid w:val="0"/>
        <w:spacing w:line="276" w:lineRule="auto"/>
        <w:ind w:firstLine="600" w:firstLineChars="200"/>
        <w:rPr>
          <w:rFonts w:hint="eastAsia" w:ascii="仿宋" w:hAnsi="仿宋" w:eastAsia="仿宋" w:cs="Times New Roman"/>
          <w:color w:val="000000"/>
          <w:sz w:val="30"/>
          <w:szCs w:val="30"/>
        </w:rPr>
      </w:pPr>
      <w:r>
        <w:rPr>
          <w:rFonts w:hint="eastAsia" w:ascii="仿宋" w:hAnsi="仿宋" w:eastAsia="仿宋" w:cs="Times New Roman"/>
          <w:color w:val="000000"/>
          <w:sz w:val="30"/>
          <w:szCs w:val="30"/>
        </w:rPr>
        <w:t>本标准在编制过程中，涵盖涉及到</w:t>
      </w:r>
      <w:r>
        <w:rPr>
          <w:rFonts w:hint="eastAsia" w:ascii="仿宋" w:hAnsi="仿宋" w:eastAsia="仿宋" w:cs="Times New Roman"/>
          <w:color w:val="000000"/>
          <w:sz w:val="30"/>
          <w:szCs w:val="30"/>
          <w:lang w:val="en-US" w:eastAsia="zh-CN"/>
        </w:rPr>
        <w:t>一、二等水准测量</w:t>
      </w:r>
      <w:r>
        <w:rPr>
          <w:rFonts w:hint="eastAsia" w:ascii="仿宋" w:hAnsi="仿宋" w:eastAsia="仿宋" w:cs="Times New Roman"/>
          <w:color w:val="000000"/>
          <w:sz w:val="30"/>
          <w:szCs w:val="30"/>
        </w:rPr>
        <w:t>的主要技术领域，本标准应同其他相关的强制性标准、推荐性标准构成一个完整的技术体系，用于规范和指导</w:t>
      </w:r>
      <w:r>
        <w:rPr>
          <w:rFonts w:hint="eastAsia" w:ascii="仿宋" w:hAnsi="仿宋" w:eastAsia="仿宋" w:cs="Times New Roman"/>
          <w:color w:val="000000"/>
          <w:sz w:val="30"/>
          <w:szCs w:val="30"/>
          <w:lang w:val="en-US" w:eastAsia="zh-CN"/>
        </w:rPr>
        <w:t>一、二等水准测量</w:t>
      </w:r>
      <w:r>
        <w:rPr>
          <w:rFonts w:hint="eastAsia" w:ascii="仿宋" w:hAnsi="仿宋" w:eastAsia="仿宋" w:cs="Times New Roman"/>
          <w:color w:val="000000"/>
          <w:sz w:val="30"/>
          <w:szCs w:val="30"/>
        </w:rPr>
        <w:t>各阶段的工作。</w:t>
      </w:r>
    </w:p>
    <w:p w14:paraId="7653F538">
      <w:pPr>
        <w:adjustRightInd w:val="0"/>
        <w:snapToGrid w:val="0"/>
        <w:spacing w:line="276" w:lineRule="auto"/>
        <w:ind w:firstLine="600" w:firstLineChars="200"/>
        <w:rPr>
          <w:rFonts w:hint="eastAsia" w:ascii="仿宋" w:hAnsi="仿宋" w:eastAsia="仿宋" w:cs="Times New Roman"/>
          <w:color w:val="000000"/>
          <w:sz w:val="30"/>
          <w:szCs w:val="30"/>
        </w:rPr>
      </w:pPr>
      <w:r>
        <w:rPr>
          <w:rFonts w:hint="eastAsia" w:ascii="仿宋" w:hAnsi="仿宋" w:eastAsia="仿宋" w:cs="Times New Roman"/>
          <w:color w:val="000000"/>
          <w:sz w:val="30"/>
          <w:szCs w:val="30"/>
        </w:rPr>
        <w:t>7）规范性</w:t>
      </w:r>
    </w:p>
    <w:p w14:paraId="57737EBB">
      <w:pPr>
        <w:adjustRightInd w:val="0"/>
        <w:snapToGrid w:val="0"/>
        <w:spacing w:line="276" w:lineRule="auto"/>
        <w:ind w:firstLine="600" w:firstLineChars="200"/>
        <w:rPr>
          <w:rFonts w:ascii="仿宋" w:hAnsi="仿宋" w:eastAsia="仿宋" w:cs="Times New Roman"/>
          <w:color w:val="000000"/>
          <w:sz w:val="30"/>
          <w:szCs w:val="30"/>
        </w:rPr>
      </w:pPr>
      <w:r>
        <w:rPr>
          <w:rFonts w:hint="eastAsia" w:ascii="仿宋" w:hAnsi="仿宋" w:eastAsia="仿宋" w:cs="Times New Roman"/>
          <w:color w:val="000000"/>
          <w:sz w:val="30"/>
          <w:szCs w:val="30"/>
        </w:rPr>
        <w:t>本标准在编制过程中，注重编写质量，尽可能做到科学、严谨、实用，标准体例及文本编写严格执行GB/T 1.1-2020的要求。</w:t>
      </w:r>
    </w:p>
    <w:p w14:paraId="33A09ECD">
      <w:pPr>
        <w:pStyle w:val="25"/>
        <w:numPr>
          <w:ilvl w:val="0"/>
          <w:numId w:val="4"/>
        </w:numPr>
        <w:ind w:firstLineChars="0"/>
        <w:rPr>
          <w:rFonts w:ascii="仿宋" w:hAnsi="仿宋" w:eastAsia="仿宋" w:cs="Times New Roman"/>
          <w:b/>
          <w:sz w:val="30"/>
          <w:szCs w:val="30"/>
        </w:rPr>
      </w:pPr>
      <w:r>
        <w:rPr>
          <w:rFonts w:hint="eastAsia" w:ascii="仿宋" w:hAnsi="仿宋" w:eastAsia="仿宋" w:cs="Times New Roman"/>
          <w:b/>
          <w:sz w:val="30"/>
          <w:szCs w:val="30"/>
        </w:rPr>
        <w:t>国家标准主要内容及其确定依据，修订国家标准时，还包括修订前后技术内容的对比</w:t>
      </w:r>
    </w:p>
    <w:p w14:paraId="0C13A459">
      <w:pPr>
        <w:adjustRightInd w:val="0"/>
        <w:snapToGrid w:val="0"/>
        <w:spacing w:line="276" w:lineRule="auto"/>
        <w:ind w:firstLine="560" w:firstLineChars="200"/>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本标准主要依据《中华人民共和国测绘法》（2017版）等法律法规和《标准化工作导则 第1部分：标准的结构和编写》（GB/T 1.1-2020）、 国家一、二等水准测量规范（GB/T 12897）、光学经纬仪（CB/T 3161）、水准仪（GB/T 10156）、中、短程光电测距规范（GB/T 16818）、全球导航卫星系统（GNSS）测量规范（GB/T 18314）、测绘成果质量检查与验收（GB/T 24356）、建筑地基基础设计规范（GB 50007-2011）、测绘技术总计编写规定（CH/T 1001）、测绘技术设计规定（CH/T 1004）、测量外业电子记录基本规定（CH/T 2004）、水准测量电子记录规定（CH/T 2006-1999）、水准标尺检定规程（JJG 8）、光学经纬仪检定规程（JJG 414）、水准仪检定规程（JJG 425）、光电测距仪检定规程（JJG 703）、数字水准仪检定规程（JJG (测绘) 2101）、因瓦条码水准标尺检定规程（JJG (测绘) 2102）、全球导航卫星系统（GNSS）接收机（测地型和导航型）（JJG 1200-2023）等技术标准，并结合一、二等水准测量的实践、技术发展趋势、行业的应用需求等进行编制。</w:t>
      </w:r>
    </w:p>
    <w:p w14:paraId="594BA024">
      <w:pPr>
        <w:keepNext w:val="0"/>
        <w:keepLines w:val="0"/>
        <w:pageBreakBefore w:val="0"/>
        <w:kinsoku/>
        <w:wordWrap/>
        <w:overflowPunct/>
        <w:topLinePunct w:val="0"/>
        <w:autoSpaceDE w:val="0"/>
        <w:autoSpaceDN w:val="0"/>
        <w:bidi w:val="0"/>
        <w:adjustRightInd w:val="0"/>
        <w:spacing w:before="156" w:beforeLines="50" w:after="156" w:afterLines="50" w:line="276" w:lineRule="auto"/>
        <w:ind w:firstLine="562" w:firstLineChars="200"/>
        <w:jc w:val="left"/>
        <w:textAlignment w:val="auto"/>
        <w:rPr>
          <w:rFonts w:ascii="仿宋" w:hAnsi="仿宋" w:eastAsia="仿宋" w:cs="仿宋"/>
          <w:b/>
          <w:kern w:val="0"/>
          <w:sz w:val="28"/>
          <w:szCs w:val="28"/>
        </w:rPr>
      </w:pPr>
      <w:r>
        <w:rPr>
          <w:rFonts w:hint="eastAsia" w:ascii="仿宋" w:hAnsi="仿宋" w:eastAsia="仿宋" w:cs="仿宋"/>
          <w:b/>
          <w:kern w:val="0"/>
          <w:sz w:val="28"/>
          <w:szCs w:val="28"/>
        </w:rPr>
        <w:t>1、标准适用范围</w:t>
      </w:r>
    </w:p>
    <w:p w14:paraId="2E132E05">
      <w:pPr>
        <w:pStyle w:val="4"/>
        <w:keepNext w:val="0"/>
        <w:keepLines w:val="0"/>
        <w:pageBreakBefore w:val="0"/>
        <w:kinsoku/>
        <w:wordWrap/>
        <w:overflowPunct/>
        <w:topLinePunct w:val="0"/>
        <w:bidi w:val="0"/>
        <w:spacing w:after="0" w:line="276" w:lineRule="auto"/>
        <w:ind w:firstLine="560" w:firstLineChars="200"/>
        <w:textAlignment w:val="auto"/>
        <w:rPr>
          <w:rFonts w:ascii="仿宋" w:hAnsi="仿宋" w:eastAsia="仿宋" w:cs="仿宋"/>
          <w:kern w:val="2"/>
          <w:sz w:val="28"/>
          <w:szCs w:val="28"/>
        </w:rPr>
      </w:pPr>
      <w:r>
        <w:rPr>
          <w:rFonts w:hint="eastAsia" w:ascii="仿宋" w:hAnsi="仿宋" w:eastAsia="仿宋" w:cs="仿宋"/>
          <w:kern w:val="2"/>
          <w:sz w:val="28"/>
          <w:szCs w:val="28"/>
        </w:rPr>
        <w:t>本文件规定了</w:t>
      </w:r>
      <w:r>
        <w:rPr>
          <w:rFonts w:hint="eastAsia" w:ascii="仿宋" w:hAnsi="仿宋" w:eastAsia="仿宋" w:cs="仿宋"/>
          <w:kern w:val="2"/>
          <w:sz w:val="28"/>
          <w:szCs w:val="28"/>
          <w:lang w:val="en-US" w:eastAsia="zh-CN"/>
        </w:rPr>
        <w:t>一、二等水准测量布网原则、施测方法和精度指标</w:t>
      </w:r>
      <w:r>
        <w:rPr>
          <w:rFonts w:hint="eastAsia" w:ascii="仿宋" w:hAnsi="仿宋" w:eastAsia="仿宋" w:cs="仿宋"/>
          <w:kern w:val="2"/>
          <w:sz w:val="28"/>
          <w:szCs w:val="28"/>
        </w:rPr>
        <w:t>等要求。</w:t>
      </w:r>
    </w:p>
    <w:p w14:paraId="46717C79">
      <w:pPr>
        <w:pStyle w:val="4"/>
        <w:keepNext w:val="0"/>
        <w:keepLines w:val="0"/>
        <w:pageBreakBefore w:val="0"/>
        <w:kinsoku/>
        <w:wordWrap/>
        <w:overflowPunct/>
        <w:topLinePunct w:val="0"/>
        <w:bidi w:val="0"/>
        <w:spacing w:after="0" w:line="276" w:lineRule="auto"/>
        <w:ind w:firstLine="560" w:firstLineChars="200"/>
        <w:textAlignment w:val="auto"/>
        <w:rPr>
          <w:rFonts w:ascii="仿宋" w:hAnsi="仿宋" w:eastAsia="仿宋" w:cs="仿宋"/>
          <w:sz w:val="28"/>
          <w:szCs w:val="28"/>
        </w:rPr>
      </w:pPr>
      <w:r>
        <w:rPr>
          <w:rFonts w:hint="eastAsia" w:ascii="仿宋" w:hAnsi="仿宋" w:eastAsia="仿宋" w:cs="仿宋"/>
          <w:sz w:val="28"/>
          <w:szCs w:val="28"/>
        </w:rPr>
        <w:t>本文件适用于国家一、二等水准网的布测。区域性的精密水准网也可参照</w:t>
      </w:r>
      <w:r>
        <w:rPr>
          <w:rFonts w:hint="eastAsia" w:ascii="仿宋" w:hAnsi="仿宋" w:eastAsia="仿宋" w:cs="仿宋"/>
          <w:sz w:val="28"/>
          <w:szCs w:val="28"/>
          <w:lang w:val="en-US" w:eastAsia="zh-CN"/>
        </w:rPr>
        <w:t>使用</w:t>
      </w:r>
      <w:r>
        <w:rPr>
          <w:rFonts w:hint="eastAsia" w:ascii="仿宋" w:hAnsi="仿宋" w:eastAsia="仿宋" w:cs="仿宋"/>
          <w:sz w:val="28"/>
          <w:szCs w:val="28"/>
        </w:rPr>
        <w:t>。</w:t>
      </w:r>
    </w:p>
    <w:p w14:paraId="4143BE57">
      <w:pPr>
        <w:keepNext w:val="0"/>
        <w:keepLines w:val="0"/>
        <w:pageBreakBefore w:val="0"/>
        <w:kinsoku/>
        <w:wordWrap/>
        <w:overflowPunct/>
        <w:topLinePunct w:val="0"/>
        <w:autoSpaceDE w:val="0"/>
        <w:autoSpaceDN w:val="0"/>
        <w:bidi w:val="0"/>
        <w:adjustRightInd w:val="0"/>
        <w:spacing w:before="156" w:beforeLines="50" w:after="156" w:afterLines="50" w:line="276" w:lineRule="auto"/>
        <w:ind w:firstLine="562" w:firstLineChars="200"/>
        <w:jc w:val="left"/>
        <w:textAlignment w:val="auto"/>
        <w:rPr>
          <w:rFonts w:ascii="仿宋" w:hAnsi="仿宋" w:eastAsia="仿宋" w:cs="仿宋"/>
          <w:b/>
          <w:kern w:val="0"/>
          <w:sz w:val="28"/>
          <w:szCs w:val="28"/>
        </w:rPr>
      </w:pPr>
      <w:r>
        <w:rPr>
          <w:rFonts w:hint="eastAsia" w:ascii="仿宋" w:hAnsi="仿宋" w:eastAsia="仿宋" w:cs="仿宋"/>
          <w:b/>
          <w:kern w:val="0"/>
          <w:sz w:val="28"/>
          <w:szCs w:val="28"/>
        </w:rPr>
        <w:t>2、修订的技术内容</w:t>
      </w:r>
    </w:p>
    <w:p w14:paraId="71210611">
      <w:pPr>
        <w:pStyle w:val="19"/>
        <w:keepNext w:val="0"/>
        <w:keepLines w:val="0"/>
        <w:pageBreakBefore w:val="0"/>
        <w:kinsoku/>
        <w:wordWrap/>
        <w:overflowPunct/>
        <w:topLinePunct w:val="0"/>
        <w:bidi w:val="0"/>
        <w:spacing w:line="276" w:lineRule="auto"/>
        <w:ind w:firstLine="602"/>
        <w:textAlignment w:val="auto"/>
        <w:rPr>
          <w:rFonts w:ascii="仿宋" w:hAnsi="仿宋" w:eastAsia="仿宋" w:cs="仿宋"/>
          <w:b/>
          <w:bCs/>
          <w:kern w:val="2"/>
          <w:sz w:val="28"/>
          <w:szCs w:val="28"/>
        </w:rPr>
      </w:pPr>
      <w:r>
        <w:rPr>
          <w:rFonts w:hint="eastAsia" w:ascii="仿宋" w:hAnsi="仿宋" w:eastAsia="仿宋" w:cs="仿宋"/>
          <w:b/>
          <w:bCs/>
          <w:kern w:val="2"/>
          <w:sz w:val="28"/>
          <w:szCs w:val="28"/>
        </w:rPr>
        <w:t>2.1 结构调整和编辑性修改</w:t>
      </w:r>
    </w:p>
    <w:p w14:paraId="25B9CEB6">
      <w:pPr>
        <w:pStyle w:val="4"/>
        <w:keepNext w:val="0"/>
        <w:keepLines w:val="0"/>
        <w:pageBreakBefore w:val="0"/>
        <w:kinsoku/>
        <w:wordWrap/>
        <w:overflowPunct/>
        <w:topLinePunct w:val="0"/>
        <w:bidi w:val="0"/>
        <w:spacing w:after="0" w:line="276" w:lineRule="auto"/>
        <w:ind w:firstLine="560" w:firstLineChars="200"/>
        <w:textAlignment w:val="auto"/>
        <w:rPr>
          <w:rFonts w:ascii="仿宋" w:hAnsi="仿宋" w:eastAsia="仿宋" w:cs="仿宋"/>
          <w:kern w:val="2"/>
          <w:sz w:val="28"/>
          <w:szCs w:val="28"/>
        </w:rPr>
      </w:pPr>
      <w:r>
        <w:rPr>
          <w:rFonts w:hint="eastAsia" w:ascii="仿宋" w:hAnsi="仿宋" w:eastAsia="仿宋" w:cs="仿宋"/>
          <w:kern w:val="2"/>
          <w:sz w:val="28"/>
          <w:szCs w:val="28"/>
        </w:rPr>
        <w:t>按照GB/T 1.1-2020《标准化工作导则 第1部分：标准化文件的结构和起草规则》的要求，对本标准进行了结构调整和编辑性修改，主要调整的内容包括标准的结构、要素的表述、编排格式等体例上的内容，使其符合最新版GB/T1.1的要求。</w:t>
      </w:r>
    </w:p>
    <w:p w14:paraId="079844D2">
      <w:pPr>
        <w:pStyle w:val="19"/>
        <w:keepNext w:val="0"/>
        <w:keepLines w:val="0"/>
        <w:pageBreakBefore w:val="0"/>
        <w:kinsoku/>
        <w:wordWrap/>
        <w:overflowPunct/>
        <w:topLinePunct w:val="0"/>
        <w:bidi w:val="0"/>
        <w:spacing w:line="276" w:lineRule="auto"/>
        <w:ind w:firstLine="602"/>
        <w:textAlignment w:val="auto"/>
        <w:rPr>
          <w:rFonts w:ascii="仿宋" w:hAnsi="仿宋" w:eastAsia="仿宋" w:cs="仿宋"/>
          <w:b/>
          <w:bCs/>
          <w:kern w:val="2"/>
          <w:sz w:val="28"/>
          <w:szCs w:val="28"/>
        </w:rPr>
      </w:pPr>
      <w:r>
        <w:rPr>
          <w:rFonts w:hint="eastAsia" w:ascii="仿宋" w:hAnsi="仿宋" w:eastAsia="仿宋" w:cs="仿宋"/>
          <w:b/>
          <w:bCs/>
          <w:kern w:val="2"/>
          <w:sz w:val="28"/>
          <w:szCs w:val="28"/>
        </w:rPr>
        <w:t>2.2 修订的主要内容</w:t>
      </w:r>
    </w:p>
    <w:p w14:paraId="5D62898A">
      <w:pPr>
        <w:pStyle w:val="19"/>
        <w:keepNext w:val="0"/>
        <w:keepLines w:val="0"/>
        <w:pageBreakBefore w:val="0"/>
        <w:kinsoku/>
        <w:wordWrap/>
        <w:overflowPunct/>
        <w:topLinePunct w:val="0"/>
        <w:bidi w:val="0"/>
        <w:spacing w:line="276" w:lineRule="auto"/>
        <w:ind w:firstLine="602"/>
        <w:textAlignment w:val="auto"/>
        <w:rPr>
          <w:rFonts w:ascii="仿宋" w:hAnsi="仿宋" w:eastAsia="仿宋" w:cs="仿宋"/>
          <w:b/>
          <w:bCs/>
          <w:kern w:val="2"/>
          <w:sz w:val="28"/>
          <w:szCs w:val="28"/>
        </w:rPr>
      </w:pPr>
      <w:r>
        <w:rPr>
          <w:rFonts w:hint="eastAsia" w:ascii="仿宋" w:hAnsi="仿宋" w:eastAsia="仿宋" w:cs="仿宋"/>
          <w:b/>
          <w:bCs/>
          <w:kern w:val="2"/>
          <w:sz w:val="28"/>
          <w:szCs w:val="28"/>
        </w:rPr>
        <w:t>1）新增的内容</w:t>
      </w:r>
    </w:p>
    <w:p w14:paraId="46636341">
      <w:pPr>
        <w:pStyle w:val="4"/>
        <w:keepNext w:val="0"/>
        <w:keepLines w:val="0"/>
        <w:pageBreakBefore w:val="0"/>
        <w:numPr>
          <w:ilvl w:val="0"/>
          <w:numId w:val="5"/>
        </w:numPr>
        <w:kinsoku/>
        <w:wordWrap/>
        <w:overflowPunct/>
        <w:topLinePunct w:val="0"/>
        <w:bidi w:val="0"/>
        <w:spacing w:after="0" w:line="276" w:lineRule="auto"/>
        <w:ind w:firstLine="560" w:firstLineChars="200"/>
        <w:textAlignment w:val="auto"/>
        <w:rPr>
          <w:rFonts w:ascii="仿宋" w:hAnsi="仿宋" w:eastAsia="仿宋" w:cs="仿宋"/>
          <w:kern w:val="2"/>
          <w:sz w:val="28"/>
          <w:szCs w:val="28"/>
        </w:rPr>
      </w:pPr>
      <w:r>
        <w:rPr>
          <w:rFonts w:hint="eastAsia" w:ascii="仿宋" w:hAnsi="仿宋" w:eastAsia="仿宋" w:cs="仿宋"/>
          <w:kern w:val="2"/>
          <w:sz w:val="28"/>
          <w:szCs w:val="28"/>
          <w:lang w:val="en-US" w:eastAsia="zh-CN"/>
        </w:rPr>
        <w:t>在“规范性引用文件”一节增加了“JJG 1200-2023  全球导航卫星系统（GNSS）接收机（测地型和导航型）”、“GB/T 17943  大地天文测量规范</w:t>
      </w:r>
      <w:r>
        <w:rPr>
          <w:rFonts w:hint="default" w:ascii="仿宋" w:hAnsi="仿宋" w:eastAsia="仿宋" w:cs="仿宋"/>
          <w:kern w:val="2"/>
          <w:sz w:val="28"/>
          <w:szCs w:val="28"/>
          <w:lang w:val="en-US" w:eastAsia="zh-CN"/>
        </w:rPr>
        <w:t>”</w:t>
      </w:r>
      <w:r>
        <w:rPr>
          <w:rFonts w:hint="eastAsia" w:ascii="仿宋" w:hAnsi="仿宋" w:eastAsia="仿宋" w:cs="仿宋"/>
          <w:kern w:val="2"/>
          <w:sz w:val="28"/>
          <w:szCs w:val="28"/>
          <w:lang w:val="en-US" w:eastAsia="zh-CN"/>
        </w:rPr>
        <w:t>、“CH/T 8016  全球定位系统(GPS)测量型检定规程</w:t>
      </w:r>
      <w:r>
        <w:rPr>
          <w:rFonts w:hint="default" w:ascii="仿宋" w:hAnsi="仿宋" w:eastAsia="仿宋" w:cs="仿宋"/>
          <w:kern w:val="2"/>
          <w:sz w:val="28"/>
          <w:szCs w:val="28"/>
          <w:lang w:val="en-US" w:eastAsia="zh-CN"/>
        </w:rPr>
        <w:t>”</w:t>
      </w:r>
      <w:r>
        <w:rPr>
          <w:rFonts w:hint="eastAsia" w:ascii="仿宋" w:hAnsi="仿宋" w:eastAsia="仿宋" w:cs="仿宋"/>
          <w:kern w:val="2"/>
          <w:sz w:val="28"/>
          <w:szCs w:val="28"/>
          <w:lang w:val="en-US" w:eastAsia="zh-CN"/>
        </w:rPr>
        <w:t>（见第2章）。</w:t>
      </w:r>
    </w:p>
    <w:p w14:paraId="0A56577F">
      <w:pPr>
        <w:pStyle w:val="4"/>
        <w:keepNext w:val="0"/>
        <w:keepLines w:val="0"/>
        <w:pageBreakBefore w:val="0"/>
        <w:numPr>
          <w:ilvl w:val="0"/>
          <w:numId w:val="5"/>
        </w:numPr>
        <w:kinsoku/>
        <w:wordWrap/>
        <w:overflowPunct/>
        <w:topLinePunct w:val="0"/>
        <w:bidi w:val="0"/>
        <w:spacing w:after="0" w:line="276" w:lineRule="auto"/>
        <w:ind w:firstLine="560" w:firstLineChars="200"/>
        <w:textAlignment w:val="auto"/>
        <w:rPr>
          <w:rFonts w:ascii="仿宋" w:hAnsi="仿宋" w:eastAsia="仿宋" w:cs="仿宋"/>
          <w:kern w:val="2"/>
          <w:sz w:val="28"/>
          <w:szCs w:val="28"/>
        </w:rPr>
      </w:pPr>
      <w:r>
        <w:rPr>
          <w:rFonts w:hint="eastAsia" w:ascii="仿宋" w:hAnsi="仿宋" w:eastAsia="仿宋" w:cs="仿宋"/>
          <w:kern w:val="2"/>
          <w:sz w:val="28"/>
          <w:szCs w:val="28"/>
        </w:rPr>
        <w:t>“</w:t>
      </w:r>
      <w:r>
        <w:rPr>
          <w:rFonts w:hint="eastAsia" w:ascii="仿宋" w:hAnsi="仿宋" w:eastAsia="仿宋" w:cs="仿宋"/>
          <w:kern w:val="2"/>
          <w:sz w:val="28"/>
          <w:szCs w:val="28"/>
          <w:lang w:val="en-US" w:eastAsia="zh-CN"/>
        </w:rPr>
        <w:t>布设原则</w:t>
      </w:r>
      <w:r>
        <w:rPr>
          <w:rFonts w:hint="eastAsia" w:ascii="仿宋" w:hAnsi="仿宋" w:eastAsia="仿宋" w:cs="仿宋"/>
          <w:kern w:val="2"/>
          <w:sz w:val="28"/>
          <w:szCs w:val="28"/>
        </w:rPr>
        <w:t>”一节增加了“我国沉降严重区域可适当缩短该区域一等水准网复测周期，对于年均沉降速率大于20毫米地区的一等水准网，建议进行每年复测。复测时需进行至少一个完整水准环观测，必须选择至少2个基岩点作为连测水准点，优先选择深层基岩点，严禁选用土层水准点作为连测水准点。”（见</w:t>
      </w:r>
      <w:r>
        <w:rPr>
          <w:rFonts w:hint="eastAsia" w:ascii="仿宋" w:hAnsi="仿宋" w:eastAsia="仿宋" w:cs="仿宋"/>
          <w:kern w:val="2"/>
          <w:sz w:val="28"/>
          <w:szCs w:val="28"/>
          <w:lang w:val="en-US" w:eastAsia="zh-CN"/>
        </w:rPr>
        <w:t>4.4.2</w:t>
      </w:r>
      <w:r>
        <w:rPr>
          <w:rFonts w:hint="eastAsia" w:ascii="仿宋" w:hAnsi="仿宋" w:eastAsia="仿宋" w:cs="仿宋"/>
          <w:kern w:val="2"/>
          <w:sz w:val="28"/>
          <w:szCs w:val="28"/>
        </w:rPr>
        <w:t>）</w:t>
      </w:r>
      <w:r>
        <w:rPr>
          <w:rFonts w:hint="eastAsia" w:ascii="仿宋" w:hAnsi="仿宋" w:eastAsia="仿宋" w:cs="仿宋"/>
          <w:kern w:val="2"/>
          <w:sz w:val="28"/>
          <w:szCs w:val="28"/>
          <w:lang w:eastAsia="zh-CN"/>
        </w:rPr>
        <w:t>；</w:t>
      </w:r>
      <w:r>
        <w:rPr>
          <w:rFonts w:hint="eastAsia" w:ascii="仿宋" w:hAnsi="仿宋" w:eastAsia="仿宋" w:cs="仿宋"/>
          <w:kern w:val="2"/>
          <w:sz w:val="28"/>
          <w:szCs w:val="28"/>
          <w:lang w:val="en-US" w:eastAsia="zh-CN"/>
        </w:rPr>
        <w:t>增加了“二等水准网应在一等水准网复测完成后及时进行复测，每次复测的起讫时间不超过5年。对于年均沉降速率大于20毫米地区的二等水准网，建议进行每年复测。”（见4.4.3）。</w:t>
      </w:r>
    </w:p>
    <w:p w14:paraId="57ABF020">
      <w:pPr>
        <w:pStyle w:val="4"/>
        <w:keepNext w:val="0"/>
        <w:keepLines w:val="0"/>
        <w:pageBreakBefore w:val="0"/>
        <w:numPr>
          <w:ilvl w:val="0"/>
          <w:numId w:val="5"/>
        </w:numPr>
        <w:kinsoku/>
        <w:wordWrap/>
        <w:overflowPunct/>
        <w:topLinePunct w:val="0"/>
        <w:bidi w:val="0"/>
        <w:spacing w:after="0" w:line="276" w:lineRule="auto"/>
        <w:ind w:firstLine="560" w:firstLineChars="200"/>
        <w:textAlignment w:val="auto"/>
        <w:rPr>
          <w:rFonts w:ascii="仿宋" w:hAnsi="仿宋" w:eastAsia="仿宋" w:cs="仿宋"/>
          <w:kern w:val="2"/>
          <w:sz w:val="28"/>
          <w:szCs w:val="28"/>
        </w:rPr>
      </w:pPr>
      <w:r>
        <w:rPr>
          <w:rFonts w:hint="eastAsia" w:ascii="仿宋" w:hAnsi="仿宋" w:eastAsia="仿宋" w:cs="仿宋"/>
          <w:kern w:val="2"/>
          <w:sz w:val="28"/>
          <w:szCs w:val="28"/>
          <w:lang w:eastAsia="zh-CN"/>
        </w:rPr>
        <w:t>“</w:t>
      </w:r>
      <w:r>
        <w:rPr>
          <w:rFonts w:hint="eastAsia" w:ascii="仿宋" w:hAnsi="仿宋" w:eastAsia="仿宋" w:cs="仿宋"/>
          <w:kern w:val="2"/>
          <w:sz w:val="28"/>
          <w:szCs w:val="28"/>
        </w:rPr>
        <w:t>路线命名及水准点编号</w:t>
      </w:r>
      <w:r>
        <w:rPr>
          <w:rFonts w:hint="eastAsia" w:ascii="仿宋" w:hAnsi="仿宋" w:eastAsia="仿宋" w:cs="仿宋"/>
          <w:kern w:val="2"/>
          <w:sz w:val="28"/>
          <w:szCs w:val="28"/>
          <w:lang w:eastAsia="zh-CN"/>
        </w:rPr>
        <w:t>”</w:t>
      </w:r>
      <w:r>
        <w:rPr>
          <w:rFonts w:hint="eastAsia" w:ascii="仿宋" w:hAnsi="仿宋" w:eastAsia="仿宋" w:cs="仿宋"/>
          <w:kern w:val="2"/>
          <w:sz w:val="28"/>
          <w:szCs w:val="28"/>
          <w:lang w:val="en-US" w:eastAsia="zh-CN"/>
        </w:rPr>
        <w:t>一节增加了“4.6.7　新设水准路线与已测水准路线重合时，应尽量利用旧水准点。当对旧水准点的稳固性发生怀疑或旧水准点标石规格不符合要求时，应重新埋石，新埋水准标石的编号为原点号后加注埋设时的后两位数年代号，并且应对旧水准点进行连测。”（见4.6.7）。</w:t>
      </w:r>
    </w:p>
    <w:p w14:paraId="507E72C0">
      <w:pPr>
        <w:pStyle w:val="4"/>
        <w:keepNext w:val="0"/>
        <w:keepLines w:val="0"/>
        <w:pageBreakBefore w:val="0"/>
        <w:numPr>
          <w:ilvl w:val="0"/>
          <w:numId w:val="5"/>
        </w:numPr>
        <w:kinsoku/>
        <w:wordWrap/>
        <w:overflowPunct/>
        <w:topLinePunct w:val="0"/>
        <w:bidi w:val="0"/>
        <w:spacing w:after="0" w:line="276" w:lineRule="auto"/>
        <w:ind w:firstLine="560" w:firstLineChars="200"/>
        <w:textAlignment w:val="auto"/>
        <w:rPr>
          <w:rFonts w:ascii="仿宋" w:hAnsi="仿宋" w:eastAsia="仿宋" w:cs="仿宋"/>
          <w:kern w:val="2"/>
          <w:sz w:val="28"/>
          <w:szCs w:val="28"/>
        </w:rPr>
      </w:pPr>
      <w:r>
        <w:rPr>
          <w:rFonts w:hint="eastAsia" w:ascii="仿宋" w:hAnsi="仿宋" w:eastAsia="仿宋" w:cs="仿宋"/>
          <w:kern w:val="2"/>
          <w:sz w:val="28"/>
          <w:szCs w:val="28"/>
          <w:lang w:eastAsia="zh-CN"/>
        </w:rPr>
        <w:t>“</w:t>
      </w:r>
      <w:r>
        <w:rPr>
          <w:rFonts w:hint="eastAsia" w:ascii="仿宋" w:hAnsi="仿宋" w:eastAsia="仿宋" w:cs="仿宋"/>
          <w:kern w:val="2"/>
          <w:sz w:val="28"/>
          <w:szCs w:val="28"/>
        </w:rPr>
        <w:t>水准路线上的重力测量</w:t>
      </w:r>
      <w:r>
        <w:rPr>
          <w:rFonts w:hint="eastAsia" w:ascii="仿宋" w:hAnsi="仿宋" w:eastAsia="仿宋" w:cs="仿宋"/>
          <w:kern w:val="2"/>
          <w:sz w:val="28"/>
          <w:szCs w:val="28"/>
          <w:lang w:eastAsia="zh-CN"/>
        </w:rPr>
        <w:t>”</w:t>
      </w:r>
      <w:r>
        <w:rPr>
          <w:rFonts w:hint="eastAsia" w:ascii="仿宋" w:hAnsi="仿宋" w:eastAsia="仿宋" w:cs="仿宋"/>
          <w:kern w:val="2"/>
          <w:sz w:val="28"/>
          <w:szCs w:val="28"/>
          <w:lang w:val="en-US" w:eastAsia="zh-CN"/>
        </w:rPr>
        <w:t>一节增加了“4.8.1　高差大于500m的一、二等水准测段中，重力点间平均距离应小于500m。”（见4.8.1）。</w:t>
      </w:r>
    </w:p>
    <w:p w14:paraId="0B579970">
      <w:pPr>
        <w:pStyle w:val="4"/>
        <w:keepNext w:val="0"/>
        <w:keepLines w:val="0"/>
        <w:pageBreakBefore w:val="0"/>
        <w:numPr>
          <w:ilvl w:val="0"/>
          <w:numId w:val="5"/>
        </w:numPr>
        <w:kinsoku/>
        <w:wordWrap/>
        <w:overflowPunct/>
        <w:topLinePunct w:val="0"/>
        <w:bidi w:val="0"/>
        <w:spacing w:after="0" w:line="276" w:lineRule="auto"/>
        <w:ind w:firstLine="560" w:firstLineChars="200"/>
        <w:textAlignment w:val="auto"/>
        <w:rPr>
          <w:rFonts w:ascii="仿宋" w:hAnsi="仿宋" w:eastAsia="仿宋" w:cs="仿宋"/>
          <w:kern w:val="2"/>
          <w:sz w:val="28"/>
          <w:szCs w:val="28"/>
        </w:rPr>
      </w:pPr>
      <w:r>
        <w:rPr>
          <w:rFonts w:hint="eastAsia" w:ascii="仿宋" w:hAnsi="仿宋" w:eastAsia="仿宋" w:cs="仿宋"/>
          <w:kern w:val="2"/>
          <w:sz w:val="28"/>
          <w:szCs w:val="28"/>
          <w:lang w:eastAsia="zh-CN"/>
        </w:rPr>
        <w:t>“选定基岩水准点”</w:t>
      </w:r>
      <w:r>
        <w:rPr>
          <w:rFonts w:hint="eastAsia" w:ascii="仿宋" w:hAnsi="仿宋" w:eastAsia="仿宋" w:cs="仿宋"/>
          <w:kern w:val="2"/>
          <w:sz w:val="28"/>
          <w:szCs w:val="28"/>
          <w:lang w:val="en-US" w:eastAsia="zh-CN"/>
        </w:rPr>
        <w:t>一节增加了“地质勘察报告的编写见GB 50007”（见5.1.3）。</w:t>
      </w:r>
    </w:p>
    <w:p w14:paraId="664680AA">
      <w:pPr>
        <w:pStyle w:val="4"/>
        <w:keepNext w:val="0"/>
        <w:keepLines w:val="0"/>
        <w:pageBreakBefore w:val="0"/>
        <w:numPr>
          <w:ilvl w:val="0"/>
          <w:numId w:val="5"/>
        </w:numPr>
        <w:kinsoku/>
        <w:wordWrap/>
        <w:overflowPunct/>
        <w:topLinePunct w:val="0"/>
        <w:bidi w:val="0"/>
        <w:spacing w:after="0" w:line="276" w:lineRule="auto"/>
        <w:ind w:firstLine="560" w:firstLineChars="200"/>
        <w:textAlignment w:val="auto"/>
        <w:rPr>
          <w:rFonts w:ascii="仿宋" w:hAnsi="仿宋" w:eastAsia="仿宋" w:cs="仿宋"/>
          <w:kern w:val="2"/>
          <w:sz w:val="28"/>
          <w:szCs w:val="28"/>
        </w:rPr>
      </w:pPr>
      <w:r>
        <w:rPr>
          <w:rFonts w:hint="eastAsia" w:ascii="仿宋" w:hAnsi="仿宋" w:eastAsia="仿宋" w:cs="仿宋"/>
          <w:kern w:val="2"/>
          <w:sz w:val="28"/>
          <w:szCs w:val="28"/>
          <w:lang w:eastAsia="zh-CN"/>
        </w:rPr>
        <w:t>“标石类型”</w:t>
      </w:r>
      <w:r>
        <w:rPr>
          <w:rFonts w:hint="eastAsia" w:ascii="仿宋" w:hAnsi="仿宋" w:eastAsia="仿宋" w:cs="仿宋"/>
          <w:kern w:val="2"/>
          <w:sz w:val="28"/>
          <w:szCs w:val="28"/>
          <w:lang w:val="en-US" w:eastAsia="zh-CN"/>
        </w:rPr>
        <w:t>一节表3增加了“混凝土基本水准标石”和“混凝土普通水准标石”（见5.2.1）。</w:t>
      </w:r>
    </w:p>
    <w:p w14:paraId="44A9DB3A">
      <w:pPr>
        <w:pStyle w:val="4"/>
        <w:keepNext w:val="0"/>
        <w:keepLines w:val="0"/>
        <w:pageBreakBefore w:val="0"/>
        <w:numPr>
          <w:ilvl w:val="0"/>
          <w:numId w:val="5"/>
        </w:numPr>
        <w:kinsoku/>
        <w:wordWrap/>
        <w:overflowPunct/>
        <w:topLinePunct w:val="0"/>
        <w:bidi w:val="0"/>
        <w:spacing w:after="0" w:line="276" w:lineRule="auto"/>
        <w:ind w:firstLine="560" w:firstLineChars="200"/>
        <w:textAlignment w:val="auto"/>
        <w:rPr>
          <w:rFonts w:ascii="仿宋" w:hAnsi="仿宋" w:eastAsia="仿宋" w:cs="仿宋"/>
          <w:kern w:val="2"/>
          <w:sz w:val="28"/>
          <w:szCs w:val="28"/>
        </w:rPr>
      </w:pPr>
      <w:r>
        <w:rPr>
          <w:rFonts w:hint="eastAsia" w:ascii="仿宋" w:hAnsi="仿宋" w:eastAsia="仿宋" w:cs="仿宋"/>
          <w:kern w:val="2"/>
          <w:sz w:val="28"/>
          <w:szCs w:val="28"/>
          <w:lang w:val="en-US" w:eastAsia="zh-CN"/>
        </w:rPr>
        <w:t>增加了“混凝土水准标石埋设”一节（见5.2.4.3.4）。</w:t>
      </w:r>
    </w:p>
    <w:p w14:paraId="79DA0608">
      <w:pPr>
        <w:pStyle w:val="4"/>
        <w:keepNext w:val="0"/>
        <w:keepLines w:val="0"/>
        <w:pageBreakBefore w:val="0"/>
        <w:numPr>
          <w:ilvl w:val="0"/>
          <w:numId w:val="5"/>
        </w:numPr>
        <w:kinsoku/>
        <w:wordWrap/>
        <w:overflowPunct/>
        <w:topLinePunct w:val="0"/>
        <w:bidi w:val="0"/>
        <w:spacing w:after="0" w:line="276" w:lineRule="auto"/>
        <w:ind w:firstLine="560" w:firstLineChars="200"/>
        <w:textAlignment w:val="auto"/>
        <w:rPr>
          <w:rFonts w:ascii="仿宋" w:hAnsi="仿宋" w:eastAsia="仿宋" w:cs="仿宋"/>
          <w:kern w:val="2"/>
          <w:sz w:val="28"/>
          <w:szCs w:val="28"/>
        </w:rPr>
      </w:pPr>
      <w:r>
        <w:rPr>
          <w:rFonts w:hint="eastAsia" w:ascii="仿宋" w:hAnsi="仿宋" w:eastAsia="仿宋" w:cs="仿宋"/>
          <w:kern w:val="2"/>
          <w:sz w:val="28"/>
          <w:szCs w:val="28"/>
          <w:lang w:eastAsia="zh-CN"/>
        </w:rPr>
        <w:t>“墙脚水准标志的埋设”</w:t>
      </w:r>
      <w:r>
        <w:rPr>
          <w:rFonts w:hint="eastAsia" w:ascii="仿宋" w:hAnsi="仿宋" w:eastAsia="仿宋" w:cs="仿宋"/>
          <w:kern w:val="2"/>
          <w:sz w:val="28"/>
          <w:szCs w:val="28"/>
          <w:lang w:val="en-US" w:eastAsia="zh-CN"/>
        </w:rPr>
        <w:t>一节增加了“埋设规格及形状见A.6图A.22。”（见5.2.4.7）。</w:t>
      </w:r>
    </w:p>
    <w:p w14:paraId="24102BEB">
      <w:pPr>
        <w:pStyle w:val="4"/>
        <w:keepNext w:val="0"/>
        <w:keepLines w:val="0"/>
        <w:pageBreakBefore w:val="0"/>
        <w:numPr>
          <w:ilvl w:val="0"/>
          <w:numId w:val="5"/>
        </w:numPr>
        <w:kinsoku/>
        <w:wordWrap/>
        <w:overflowPunct/>
        <w:topLinePunct w:val="0"/>
        <w:bidi w:val="0"/>
        <w:spacing w:after="0" w:line="276" w:lineRule="auto"/>
        <w:ind w:firstLine="560" w:firstLineChars="200"/>
        <w:textAlignment w:val="auto"/>
        <w:rPr>
          <w:rFonts w:ascii="仿宋" w:hAnsi="仿宋" w:eastAsia="仿宋" w:cs="仿宋"/>
          <w:kern w:val="2"/>
          <w:sz w:val="28"/>
          <w:szCs w:val="28"/>
        </w:rPr>
      </w:pPr>
      <w:r>
        <w:rPr>
          <w:rFonts w:hint="eastAsia" w:ascii="仿宋" w:hAnsi="仿宋" w:eastAsia="仿宋" w:cs="仿宋"/>
          <w:kern w:val="2"/>
          <w:sz w:val="28"/>
          <w:szCs w:val="28"/>
          <w:lang w:eastAsia="zh-CN"/>
        </w:rPr>
        <w:t>“</w:t>
      </w:r>
      <w:r>
        <w:rPr>
          <w:rFonts w:hint="eastAsia" w:ascii="仿宋" w:hAnsi="仿宋" w:eastAsia="仿宋" w:cs="仿宋"/>
          <w:kern w:val="2"/>
          <w:sz w:val="28"/>
          <w:szCs w:val="28"/>
          <w:lang w:val="en-US" w:eastAsia="zh-CN"/>
        </w:rPr>
        <w:t>仪器检校</w:t>
      </w:r>
      <w:r>
        <w:rPr>
          <w:rFonts w:hint="eastAsia" w:ascii="仿宋" w:hAnsi="仿宋" w:eastAsia="仿宋" w:cs="仿宋"/>
          <w:kern w:val="2"/>
          <w:sz w:val="28"/>
          <w:szCs w:val="28"/>
          <w:lang w:eastAsia="zh-CN"/>
        </w:rPr>
        <w:t>”</w:t>
      </w:r>
      <w:r>
        <w:rPr>
          <w:rFonts w:hint="eastAsia" w:ascii="仿宋" w:hAnsi="仿宋" w:eastAsia="仿宋" w:cs="仿宋"/>
          <w:kern w:val="2"/>
          <w:sz w:val="28"/>
          <w:szCs w:val="28"/>
          <w:lang w:val="en-US" w:eastAsia="zh-CN"/>
        </w:rPr>
        <w:t>一节增加了全站仪在跨河水准测量需要进行“竖盘指标差、一测回竖直角测角标准偏差的测定”这两个检验项目，并在注释中做相应修改（见表5）。</w:t>
      </w:r>
    </w:p>
    <w:p w14:paraId="1A821B69">
      <w:pPr>
        <w:pStyle w:val="4"/>
        <w:keepNext w:val="0"/>
        <w:keepLines w:val="0"/>
        <w:pageBreakBefore w:val="0"/>
        <w:numPr>
          <w:ilvl w:val="0"/>
          <w:numId w:val="5"/>
        </w:numPr>
        <w:kinsoku/>
        <w:wordWrap/>
        <w:overflowPunct/>
        <w:topLinePunct w:val="0"/>
        <w:bidi w:val="0"/>
        <w:spacing w:after="0" w:line="276" w:lineRule="auto"/>
        <w:ind w:firstLine="560" w:firstLineChars="200"/>
        <w:textAlignment w:val="auto"/>
        <w:rPr>
          <w:rFonts w:ascii="仿宋" w:hAnsi="仿宋" w:eastAsia="仿宋" w:cs="仿宋"/>
          <w:kern w:val="2"/>
          <w:sz w:val="28"/>
          <w:szCs w:val="28"/>
        </w:rPr>
      </w:pPr>
      <w:r>
        <w:rPr>
          <w:rFonts w:hint="eastAsia" w:ascii="仿宋" w:hAnsi="仿宋" w:eastAsia="仿宋" w:cs="仿宋"/>
          <w:kern w:val="2"/>
          <w:sz w:val="28"/>
          <w:szCs w:val="28"/>
          <w:lang w:eastAsia="zh-CN"/>
        </w:rPr>
        <w:t>“</w:t>
      </w:r>
      <w:r>
        <w:rPr>
          <w:rFonts w:hint="eastAsia" w:ascii="仿宋" w:hAnsi="仿宋" w:eastAsia="仿宋" w:cs="仿宋"/>
          <w:kern w:val="2"/>
          <w:sz w:val="28"/>
          <w:szCs w:val="28"/>
          <w:lang w:val="en-US" w:eastAsia="zh-CN"/>
        </w:rPr>
        <w:t>仪器检校</w:t>
      </w:r>
      <w:r>
        <w:rPr>
          <w:rFonts w:hint="eastAsia" w:ascii="仿宋" w:hAnsi="仿宋" w:eastAsia="仿宋" w:cs="仿宋"/>
          <w:kern w:val="2"/>
          <w:sz w:val="28"/>
          <w:szCs w:val="28"/>
          <w:lang w:eastAsia="zh-CN"/>
        </w:rPr>
        <w:t>”</w:t>
      </w:r>
      <w:r>
        <w:rPr>
          <w:rFonts w:hint="eastAsia" w:ascii="仿宋" w:hAnsi="仿宋" w:eastAsia="仿宋" w:cs="仿宋"/>
          <w:kern w:val="2"/>
          <w:sz w:val="28"/>
          <w:szCs w:val="28"/>
          <w:lang w:val="en-US" w:eastAsia="zh-CN"/>
        </w:rPr>
        <w:t>一节增加了“若作业期超过三个月时，应在作业期中间加测第3项一次”（见6.2.6）。</w:t>
      </w:r>
    </w:p>
    <w:p w14:paraId="5C46B7CD">
      <w:pPr>
        <w:pStyle w:val="4"/>
        <w:keepNext w:val="0"/>
        <w:keepLines w:val="0"/>
        <w:pageBreakBefore w:val="0"/>
        <w:numPr>
          <w:ilvl w:val="0"/>
          <w:numId w:val="5"/>
        </w:numPr>
        <w:kinsoku/>
        <w:wordWrap/>
        <w:overflowPunct/>
        <w:topLinePunct w:val="0"/>
        <w:bidi w:val="0"/>
        <w:spacing w:after="0" w:line="276" w:lineRule="auto"/>
        <w:ind w:firstLine="560" w:firstLineChars="200"/>
        <w:textAlignment w:val="auto"/>
        <w:rPr>
          <w:rFonts w:ascii="仿宋" w:hAnsi="仿宋" w:eastAsia="仿宋" w:cs="仿宋"/>
          <w:kern w:val="2"/>
          <w:sz w:val="28"/>
          <w:szCs w:val="28"/>
        </w:rPr>
      </w:pPr>
      <w:r>
        <w:rPr>
          <w:rFonts w:hint="eastAsia" w:ascii="仿宋" w:hAnsi="仿宋" w:eastAsia="仿宋" w:cs="仿宋"/>
          <w:kern w:val="2"/>
          <w:sz w:val="28"/>
          <w:szCs w:val="28"/>
          <w:lang w:val="en-US" w:eastAsia="zh-CN"/>
        </w:rPr>
        <w:t>增加了“数字水准仪观测”一节（见7.4.2）。</w:t>
      </w:r>
    </w:p>
    <w:p w14:paraId="3E242850">
      <w:pPr>
        <w:pStyle w:val="4"/>
        <w:keepNext w:val="0"/>
        <w:keepLines w:val="0"/>
        <w:pageBreakBefore w:val="0"/>
        <w:numPr>
          <w:ilvl w:val="0"/>
          <w:numId w:val="5"/>
        </w:numPr>
        <w:kinsoku/>
        <w:wordWrap/>
        <w:overflowPunct/>
        <w:topLinePunct w:val="0"/>
        <w:bidi w:val="0"/>
        <w:spacing w:after="0" w:line="276" w:lineRule="auto"/>
        <w:ind w:firstLine="560" w:firstLineChars="200"/>
        <w:textAlignment w:val="auto"/>
        <w:rPr>
          <w:rFonts w:ascii="仿宋" w:hAnsi="仿宋" w:eastAsia="仿宋" w:cs="仿宋"/>
          <w:kern w:val="2"/>
          <w:sz w:val="28"/>
          <w:szCs w:val="28"/>
        </w:rPr>
      </w:pPr>
      <w:r>
        <w:rPr>
          <w:rFonts w:hint="eastAsia" w:ascii="仿宋" w:hAnsi="仿宋" w:eastAsia="仿宋" w:cs="仿宋"/>
          <w:kern w:val="2"/>
          <w:sz w:val="28"/>
          <w:szCs w:val="28"/>
          <w:lang w:val="en-US" w:eastAsia="zh-CN"/>
        </w:rPr>
        <w:t>修改增加了“成果的重测和取舍”一节，在7.12.2、7.12.3、7.12.4中增加“原测数据作废”（见7.12.2、7.12.3、7.12.4）。</w:t>
      </w:r>
    </w:p>
    <w:p w14:paraId="3561D4AF">
      <w:pPr>
        <w:pStyle w:val="4"/>
        <w:keepNext w:val="0"/>
        <w:keepLines w:val="0"/>
        <w:pageBreakBefore w:val="0"/>
        <w:numPr>
          <w:ilvl w:val="0"/>
          <w:numId w:val="5"/>
        </w:numPr>
        <w:kinsoku/>
        <w:wordWrap/>
        <w:overflowPunct/>
        <w:topLinePunct w:val="0"/>
        <w:bidi w:val="0"/>
        <w:spacing w:after="0" w:line="276" w:lineRule="auto"/>
        <w:ind w:firstLine="560" w:firstLineChars="200"/>
        <w:textAlignment w:val="auto"/>
        <w:rPr>
          <w:rFonts w:ascii="仿宋" w:hAnsi="仿宋" w:eastAsia="仿宋" w:cs="仿宋"/>
          <w:kern w:val="2"/>
          <w:sz w:val="28"/>
          <w:szCs w:val="28"/>
        </w:rPr>
      </w:pPr>
      <w:r>
        <w:rPr>
          <w:rFonts w:hint="eastAsia" w:ascii="仿宋" w:hAnsi="仿宋" w:eastAsia="仿宋" w:cs="仿宋"/>
          <w:kern w:val="2"/>
          <w:sz w:val="28"/>
          <w:szCs w:val="28"/>
          <w:lang w:eastAsia="zh-CN"/>
        </w:rPr>
        <w:t>“</w:t>
      </w:r>
      <w:r>
        <w:rPr>
          <w:rFonts w:hint="eastAsia" w:ascii="仿宋" w:hAnsi="仿宋" w:eastAsia="仿宋" w:cs="仿宋"/>
          <w:kern w:val="2"/>
          <w:sz w:val="28"/>
          <w:szCs w:val="28"/>
          <w:lang w:val="en-US" w:eastAsia="zh-CN"/>
        </w:rPr>
        <w:t>高差计算</w:t>
      </w:r>
      <w:r>
        <w:rPr>
          <w:rFonts w:hint="eastAsia" w:ascii="仿宋" w:hAnsi="仿宋" w:eastAsia="仿宋" w:cs="仿宋"/>
          <w:kern w:val="2"/>
          <w:sz w:val="28"/>
          <w:szCs w:val="28"/>
          <w:lang w:eastAsia="zh-CN"/>
        </w:rPr>
        <w:t>”</w:t>
      </w:r>
      <w:r>
        <w:rPr>
          <w:rFonts w:hint="eastAsia" w:ascii="仿宋" w:hAnsi="仿宋" w:eastAsia="仿宋" w:cs="仿宋"/>
          <w:kern w:val="2"/>
          <w:sz w:val="28"/>
          <w:szCs w:val="28"/>
          <w:lang w:val="en-US" w:eastAsia="zh-CN"/>
        </w:rPr>
        <w:t>一节增加了当观测条件难以满足时候，跨河点的高程异常变化率计算公式（见8.10.9）。</w:t>
      </w:r>
    </w:p>
    <w:p w14:paraId="446D1E88">
      <w:pPr>
        <w:pStyle w:val="4"/>
        <w:keepNext w:val="0"/>
        <w:keepLines w:val="0"/>
        <w:pageBreakBefore w:val="0"/>
        <w:numPr>
          <w:ilvl w:val="0"/>
          <w:numId w:val="5"/>
        </w:numPr>
        <w:kinsoku/>
        <w:wordWrap/>
        <w:overflowPunct/>
        <w:topLinePunct w:val="0"/>
        <w:bidi w:val="0"/>
        <w:spacing w:after="0" w:line="276" w:lineRule="auto"/>
        <w:ind w:firstLine="560" w:firstLineChars="200"/>
        <w:textAlignment w:val="auto"/>
        <w:rPr>
          <w:rFonts w:ascii="仿宋" w:hAnsi="仿宋" w:eastAsia="仿宋" w:cs="仿宋"/>
          <w:kern w:val="2"/>
          <w:sz w:val="28"/>
          <w:szCs w:val="28"/>
        </w:rPr>
      </w:pPr>
      <w:r>
        <w:rPr>
          <w:rFonts w:hint="eastAsia" w:ascii="仿宋" w:hAnsi="仿宋" w:eastAsia="仿宋" w:cs="仿宋"/>
          <w:kern w:val="2"/>
          <w:sz w:val="28"/>
          <w:szCs w:val="28"/>
          <w:lang w:eastAsia="zh-CN"/>
        </w:rPr>
        <w:t>“</w:t>
      </w:r>
      <w:r>
        <w:rPr>
          <w:rFonts w:hint="eastAsia" w:ascii="仿宋" w:hAnsi="仿宋" w:eastAsia="仿宋" w:cs="仿宋"/>
          <w:kern w:val="2"/>
          <w:sz w:val="28"/>
          <w:szCs w:val="28"/>
          <w:lang w:val="en-US" w:eastAsia="zh-CN"/>
        </w:rPr>
        <w:t>夜间观测</w:t>
      </w:r>
      <w:r>
        <w:rPr>
          <w:rFonts w:hint="eastAsia" w:ascii="仿宋" w:hAnsi="仿宋" w:eastAsia="仿宋" w:cs="仿宋"/>
          <w:kern w:val="2"/>
          <w:sz w:val="28"/>
          <w:szCs w:val="28"/>
          <w:lang w:eastAsia="zh-CN"/>
        </w:rPr>
        <w:t>”</w:t>
      </w:r>
      <w:r>
        <w:rPr>
          <w:rFonts w:hint="eastAsia" w:ascii="仿宋" w:hAnsi="仿宋" w:eastAsia="仿宋" w:cs="仿宋"/>
          <w:kern w:val="2"/>
          <w:sz w:val="28"/>
          <w:szCs w:val="28"/>
          <w:lang w:val="en-US" w:eastAsia="zh-CN"/>
        </w:rPr>
        <w:t>一节增加了“d)采用夜间水准观测的测段，可在同一时段进行往返测，不参与区段的同光段计算。”（见8.12）。</w:t>
      </w:r>
    </w:p>
    <w:p w14:paraId="62C2EC35">
      <w:pPr>
        <w:pStyle w:val="4"/>
        <w:keepNext w:val="0"/>
        <w:keepLines w:val="0"/>
        <w:pageBreakBefore w:val="0"/>
        <w:numPr>
          <w:ilvl w:val="0"/>
          <w:numId w:val="5"/>
        </w:numPr>
        <w:kinsoku/>
        <w:wordWrap/>
        <w:overflowPunct/>
        <w:topLinePunct w:val="0"/>
        <w:bidi w:val="0"/>
        <w:spacing w:after="0" w:line="276" w:lineRule="auto"/>
        <w:ind w:firstLine="560" w:firstLineChars="200"/>
        <w:textAlignment w:val="auto"/>
        <w:rPr>
          <w:rFonts w:ascii="仿宋" w:hAnsi="仿宋" w:eastAsia="仿宋" w:cs="仿宋"/>
          <w:kern w:val="2"/>
          <w:sz w:val="28"/>
          <w:szCs w:val="28"/>
        </w:rPr>
      </w:pPr>
      <w:r>
        <w:rPr>
          <w:rFonts w:hint="eastAsia" w:ascii="仿宋" w:hAnsi="仿宋" w:eastAsia="仿宋" w:cs="仿宋"/>
          <w:kern w:val="2"/>
          <w:sz w:val="28"/>
          <w:szCs w:val="28"/>
          <w:lang w:val="en-US" w:eastAsia="zh-CN"/>
        </w:rPr>
        <w:t>增加了“隧道观测”一节内容（见8.13）。</w:t>
      </w:r>
    </w:p>
    <w:p w14:paraId="47152B82">
      <w:pPr>
        <w:pStyle w:val="4"/>
        <w:keepNext w:val="0"/>
        <w:keepLines w:val="0"/>
        <w:pageBreakBefore w:val="0"/>
        <w:numPr>
          <w:ilvl w:val="0"/>
          <w:numId w:val="5"/>
        </w:numPr>
        <w:kinsoku/>
        <w:wordWrap/>
        <w:overflowPunct/>
        <w:topLinePunct w:val="0"/>
        <w:bidi w:val="0"/>
        <w:spacing w:after="0" w:line="276" w:lineRule="auto"/>
        <w:ind w:firstLine="560" w:firstLineChars="200"/>
        <w:textAlignment w:val="auto"/>
        <w:rPr>
          <w:rFonts w:ascii="仿宋" w:hAnsi="仿宋" w:eastAsia="仿宋" w:cs="仿宋"/>
          <w:kern w:val="2"/>
          <w:sz w:val="28"/>
          <w:szCs w:val="28"/>
        </w:rPr>
      </w:pPr>
      <w:r>
        <w:rPr>
          <w:rFonts w:hint="eastAsia" w:ascii="仿宋" w:hAnsi="仿宋" w:eastAsia="仿宋" w:cs="仿宋"/>
          <w:kern w:val="2"/>
          <w:sz w:val="28"/>
          <w:szCs w:val="28"/>
          <w:lang w:val="en-US" w:eastAsia="zh-CN"/>
        </w:rPr>
        <w:t>“记录方式”一节增加了“采用电子记录方式时，宜采用数字水准仪自带或外接电子手簿自带定位模块同步记录测站坐标信息。”（见9.1.1）。</w:t>
      </w:r>
    </w:p>
    <w:p w14:paraId="3017E55D">
      <w:pPr>
        <w:pStyle w:val="4"/>
        <w:keepNext w:val="0"/>
        <w:keepLines w:val="0"/>
        <w:pageBreakBefore w:val="0"/>
        <w:numPr>
          <w:ilvl w:val="0"/>
          <w:numId w:val="6"/>
        </w:numPr>
        <w:kinsoku/>
        <w:wordWrap/>
        <w:overflowPunct/>
        <w:topLinePunct w:val="0"/>
        <w:bidi w:val="0"/>
        <w:spacing w:after="0" w:line="276" w:lineRule="auto"/>
        <w:ind w:firstLine="560" w:firstLineChars="200"/>
        <w:textAlignment w:val="auto"/>
        <w:rPr>
          <w:rFonts w:ascii="仿宋" w:hAnsi="仿宋" w:eastAsia="仿宋" w:cs="仿宋"/>
          <w:kern w:val="2"/>
          <w:sz w:val="28"/>
          <w:szCs w:val="28"/>
        </w:rPr>
      </w:pPr>
      <w:r>
        <w:rPr>
          <w:rFonts w:hint="eastAsia" w:ascii="仿宋" w:hAnsi="仿宋" w:eastAsia="仿宋" w:cs="仿宋"/>
          <w:kern w:val="2"/>
          <w:sz w:val="28"/>
          <w:szCs w:val="28"/>
          <w:lang w:val="en-US" w:eastAsia="zh-CN"/>
        </w:rPr>
        <w:t>增加“数据处理”一节，将“外业计算”并入“数据处理”，并增加“内业数据处理原则与要求”（见9.2）。</w:t>
      </w:r>
    </w:p>
    <w:p w14:paraId="161539E0">
      <w:pPr>
        <w:pStyle w:val="4"/>
        <w:keepNext w:val="0"/>
        <w:keepLines w:val="0"/>
        <w:pageBreakBefore w:val="0"/>
        <w:numPr>
          <w:ilvl w:val="0"/>
          <w:numId w:val="6"/>
        </w:numPr>
        <w:kinsoku/>
        <w:wordWrap/>
        <w:overflowPunct/>
        <w:topLinePunct w:val="0"/>
        <w:bidi w:val="0"/>
        <w:spacing w:after="0" w:line="276" w:lineRule="auto"/>
        <w:ind w:firstLine="560" w:firstLineChars="200"/>
        <w:textAlignment w:val="auto"/>
        <w:rPr>
          <w:rFonts w:ascii="仿宋" w:hAnsi="仿宋" w:eastAsia="仿宋" w:cs="仿宋"/>
          <w:kern w:val="2"/>
          <w:sz w:val="28"/>
          <w:szCs w:val="28"/>
        </w:rPr>
      </w:pPr>
      <w:r>
        <w:rPr>
          <w:rFonts w:hint="eastAsia" w:ascii="仿宋" w:hAnsi="仿宋" w:eastAsia="仿宋" w:cs="仿宋"/>
          <w:kern w:val="2"/>
          <w:sz w:val="28"/>
          <w:szCs w:val="28"/>
          <w:lang w:val="en-US" w:eastAsia="zh-CN"/>
        </w:rPr>
        <w:t>在表A.3和表A.4分别增加了“混凝土普通水准标石”和“混凝土基本水准标石、混凝土普通水准标石”（见A.7.2）。</w:t>
      </w:r>
    </w:p>
    <w:p w14:paraId="7AE35636">
      <w:pPr>
        <w:pStyle w:val="4"/>
        <w:keepNext w:val="0"/>
        <w:keepLines w:val="0"/>
        <w:pageBreakBefore w:val="0"/>
        <w:numPr>
          <w:ilvl w:val="0"/>
          <w:numId w:val="5"/>
        </w:numPr>
        <w:kinsoku/>
        <w:wordWrap/>
        <w:overflowPunct/>
        <w:topLinePunct w:val="0"/>
        <w:bidi w:val="0"/>
        <w:spacing w:after="0" w:line="276" w:lineRule="auto"/>
        <w:ind w:firstLine="560" w:firstLineChars="200"/>
        <w:textAlignment w:val="auto"/>
        <w:rPr>
          <w:rFonts w:ascii="仿宋" w:hAnsi="仿宋" w:eastAsia="仿宋" w:cs="仿宋"/>
          <w:kern w:val="2"/>
          <w:sz w:val="28"/>
          <w:szCs w:val="28"/>
        </w:rPr>
      </w:pPr>
      <w:r>
        <w:rPr>
          <w:rFonts w:hint="eastAsia" w:ascii="仿宋" w:hAnsi="仿宋" w:eastAsia="仿宋" w:cs="仿宋"/>
          <w:kern w:val="2"/>
          <w:sz w:val="28"/>
          <w:szCs w:val="28"/>
          <w:lang w:val="en-US" w:eastAsia="zh-CN"/>
        </w:rPr>
        <w:t>增加了“混凝土基本水准标石”（见图A.13）。</w:t>
      </w:r>
    </w:p>
    <w:p w14:paraId="422CFDDC">
      <w:pPr>
        <w:pStyle w:val="4"/>
        <w:keepNext w:val="0"/>
        <w:keepLines w:val="0"/>
        <w:pageBreakBefore w:val="0"/>
        <w:numPr>
          <w:ilvl w:val="0"/>
          <w:numId w:val="5"/>
        </w:numPr>
        <w:kinsoku/>
        <w:wordWrap/>
        <w:overflowPunct/>
        <w:topLinePunct w:val="0"/>
        <w:bidi w:val="0"/>
        <w:spacing w:after="0" w:line="276" w:lineRule="auto"/>
        <w:ind w:firstLine="560" w:firstLineChars="200"/>
        <w:textAlignment w:val="auto"/>
        <w:rPr>
          <w:rFonts w:ascii="仿宋" w:hAnsi="仿宋" w:eastAsia="仿宋" w:cs="仿宋"/>
          <w:kern w:val="2"/>
          <w:sz w:val="28"/>
          <w:szCs w:val="28"/>
        </w:rPr>
      </w:pPr>
      <w:r>
        <w:rPr>
          <w:rFonts w:hint="eastAsia" w:ascii="仿宋" w:hAnsi="仿宋" w:eastAsia="仿宋" w:cs="仿宋"/>
          <w:kern w:val="2"/>
          <w:sz w:val="28"/>
          <w:szCs w:val="28"/>
          <w:lang w:val="en-US" w:eastAsia="zh-CN"/>
        </w:rPr>
        <w:t>增加了“混凝土普通水准标石”（见图A.18）。</w:t>
      </w:r>
    </w:p>
    <w:p w14:paraId="31AA4119">
      <w:pPr>
        <w:pStyle w:val="4"/>
        <w:keepNext w:val="0"/>
        <w:keepLines w:val="0"/>
        <w:pageBreakBefore w:val="0"/>
        <w:numPr>
          <w:ilvl w:val="0"/>
          <w:numId w:val="5"/>
        </w:numPr>
        <w:kinsoku/>
        <w:wordWrap/>
        <w:overflowPunct/>
        <w:topLinePunct w:val="0"/>
        <w:bidi w:val="0"/>
        <w:spacing w:after="0" w:line="276" w:lineRule="auto"/>
        <w:ind w:firstLine="560" w:firstLineChars="200"/>
        <w:textAlignment w:val="auto"/>
        <w:rPr>
          <w:rFonts w:ascii="仿宋" w:hAnsi="仿宋" w:eastAsia="仿宋" w:cs="仿宋"/>
          <w:kern w:val="2"/>
          <w:sz w:val="28"/>
          <w:szCs w:val="28"/>
        </w:rPr>
      </w:pPr>
      <w:r>
        <w:rPr>
          <w:rFonts w:hint="eastAsia" w:ascii="仿宋" w:hAnsi="仿宋" w:eastAsia="仿宋" w:cs="仿宋"/>
          <w:kern w:val="2"/>
          <w:sz w:val="28"/>
          <w:szCs w:val="28"/>
          <w:lang w:val="en-US" w:eastAsia="zh-CN"/>
        </w:rPr>
        <w:t>增加了“重力异常改正”一节中“有实测重力值时水准点空间重力异常的计算公式”（见D.2.3）。</w:t>
      </w:r>
    </w:p>
    <w:p w14:paraId="1BAD9130">
      <w:pPr>
        <w:pStyle w:val="4"/>
        <w:keepNext w:val="0"/>
        <w:keepLines w:val="0"/>
        <w:pageBreakBefore w:val="0"/>
        <w:numPr>
          <w:ilvl w:val="0"/>
          <w:numId w:val="5"/>
        </w:numPr>
        <w:kinsoku/>
        <w:wordWrap/>
        <w:overflowPunct/>
        <w:topLinePunct w:val="0"/>
        <w:bidi w:val="0"/>
        <w:spacing w:after="0" w:line="276" w:lineRule="auto"/>
        <w:ind w:firstLine="560" w:firstLineChars="200"/>
        <w:textAlignment w:val="auto"/>
        <w:rPr>
          <w:rFonts w:ascii="仿宋" w:hAnsi="仿宋" w:eastAsia="仿宋" w:cs="仿宋"/>
          <w:kern w:val="2"/>
          <w:sz w:val="28"/>
          <w:szCs w:val="28"/>
        </w:rPr>
      </w:pPr>
      <w:r>
        <w:rPr>
          <w:rFonts w:hint="eastAsia" w:ascii="仿宋" w:hAnsi="仿宋" w:eastAsia="仿宋" w:cs="仿宋"/>
          <w:kern w:val="2"/>
          <w:sz w:val="28"/>
          <w:szCs w:val="28"/>
          <w:lang w:val="en-US" w:eastAsia="zh-CN"/>
        </w:rPr>
        <w:t>增加了“固体潮改正”一节的公式（见D.2.4）。</w:t>
      </w:r>
    </w:p>
    <w:p w14:paraId="7D2FEE6B">
      <w:pPr>
        <w:pStyle w:val="4"/>
        <w:keepNext w:val="0"/>
        <w:keepLines w:val="0"/>
        <w:pageBreakBefore w:val="0"/>
        <w:numPr>
          <w:ilvl w:val="0"/>
          <w:numId w:val="5"/>
        </w:numPr>
        <w:kinsoku/>
        <w:wordWrap/>
        <w:overflowPunct/>
        <w:topLinePunct w:val="0"/>
        <w:bidi w:val="0"/>
        <w:spacing w:after="0" w:line="276" w:lineRule="auto"/>
        <w:ind w:firstLine="560" w:firstLineChars="200"/>
        <w:textAlignment w:val="auto"/>
        <w:rPr>
          <w:rFonts w:ascii="仿宋" w:hAnsi="仿宋" w:eastAsia="仿宋" w:cs="仿宋"/>
          <w:kern w:val="2"/>
          <w:sz w:val="28"/>
          <w:szCs w:val="28"/>
        </w:rPr>
      </w:pPr>
      <w:r>
        <w:rPr>
          <w:rFonts w:hint="eastAsia" w:ascii="仿宋" w:hAnsi="仿宋" w:eastAsia="仿宋" w:cs="仿宋"/>
          <w:kern w:val="2"/>
          <w:sz w:val="28"/>
          <w:szCs w:val="28"/>
          <w:lang w:val="en-US" w:eastAsia="zh-CN"/>
        </w:rPr>
        <w:t>增加了“参考文献”部分。（见“参考文献”）。</w:t>
      </w:r>
    </w:p>
    <w:p w14:paraId="400BB867">
      <w:pPr>
        <w:pStyle w:val="19"/>
        <w:keepNext w:val="0"/>
        <w:keepLines w:val="0"/>
        <w:pageBreakBefore w:val="0"/>
        <w:kinsoku/>
        <w:wordWrap/>
        <w:overflowPunct/>
        <w:topLinePunct w:val="0"/>
        <w:bidi w:val="0"/>
        <w:spacing w:line="276" w:lineRule="auto"/>
        <w:ind w:firstLine="602"/>
        <w:textAlignment w:val="auto"/>
        <w:rPr>
          <w:rFonts w:ascii="仿宋" w:hAnsi="仿宋" w:eastAsia="仿宋" w:cs="仿宋"/>
          <w:b/>
          <w:bCs/>
          <w:kern w:val="2"/>
          <w:sz w:val="28"/>
          <w:szCs w:val="28"/>
        </w:rPr>
      </w:pPr>
      <w:r>
        <w:rPr>
          <w:rFonts w:hint="eastAsia" w:ascii="仿宋" w:hAnsi="仿宋" w:eastAsia="仿宋" w:cs="仿宋"/>
          <w:b/>
          <w:bCs/>
          <w:kern w:val="2"/>
          <w:sz w:val="28"/>
          <w:szCs w:val="28"/>
        </w:rPr>
        <w:t>2）删除的内容</w:t>
      </w:r>
    </w:p>
    <w:p w14:paraId="4BEB5517">
      <w:pPr>
        <w:pStyle w:val="4"/>
        <w:keepNext w:val="0"/>
        <w:keepLines w:val="0"/>
        <w:pageBreakBefore w:val="0"/>
        <w:numPr>
          <w:ilvl w:val="0"/>
          <w:numId w:val="7"/>
        </w:numPr>
        <w:kinsoku/>
        <w:wordWrap/>
        <w:overflowPunct/>
        <w:topLinePunct w:val="0"/>
        <w:bidi w:val="0"/>
        <w:spacing w:after="0" w:line="276" w:lineRule="auto"/>
        <w:ind w:firstLine="560" w:firstLineChars="200"/>
        <w:textAlignment w:val="auto"/>
        <w:rPr>
          <w:rFonts w:ascii="仿宋" w:hAnsi="仿宋" w:eastAsia="仿宋" w:cs="仿宋"/>
          <w:kern w:val="2"/>
          <w:sz w:val="28"/>
          <w:szCs w:val="28"/>
        </w:rPr>
      </w:pPr>
      <w:r>
        <w:rPr>
          <w:rFonts w:hint="eastAsia" w:ascii="仿宋" w:hAnsi="仿宋" w:eastAsia="仿宋" w:cs="仿宋"/>
          <w:kern w:val="2"/>
          <w:sz w:val="28"/>
          <w:szCs w:val="28"/>
        </w:rPr>
        <w:t>删除了“新设路线与已测路线的连测”</w:t>
      </w:r>
      <w:r>
        <w:rPr>
          <w:rFonts w:hint="eastAsia" w:ascii="仿宋" w:hAnsi="仿宋" w:eastAsia="仿宋" w:cs="仿宋"/>
          <w:kern w:val="2"/>
          <w:sz w:val="28"/>
          <w:szCs w:val="28"/>
          <w:lang w:val="en-US" w:eastAsia="zh-CN"/>
        </w:rPr>
        <w:t>一节中的“4.6.4　新设水准路线与已测水准路线重合时，应尽量利用旧水准点。当对旧水准点的稳固性发生怀疑或旧水准点标石规格不符合要求时，应重新埋石，新埋水准标石的编号为原点号后加注埋设时的后两位数年代号，并且应对旧水准点进行连测。”（见4.7）</w:t>
      </w:r>
    </w:p>
    <w:p w14:paraId="77B4708A">
      <w:pPr>
        <w:pStyle w:val="4"/>
        <w:keepNext w:val="0"/>
        <w:keepLines w:val="0"/>
        <w:pageBreakBefore w:val="0"/>
        <w:numPr>
          <w:ilvl w:val="0"/>
          <w:numId w:val="7"/>
        </w:numPr>
        <w:kinsoku/>
        <w:wordWrap/>
        <w:overflowPunct/>
        <w:topLinePunct w:val="0"/>
        <w:bidi w:val="0"/>
        <w:spacing w:after="0" w:line="276" w:lineRule="auto"/>
        <w:ind w:firstLine="560" w:firstLineChars="200"/>
        <w:textAlignment w:val="auto"/>
        <w:rPr>
          <w:rFonts w:ascii="仿宋" w:hAnsi="仿宋" w:eastAsia="仿宋" w:cs="仿宋"/>
          <w:kern w:val="2"/>
          <w:sz w:val="28"/>
          <w:szCs w:val="28"/>
        </w:rPr>
      </w:pPr>
      <w:r>
        <w:rPr>
          <w:rFonts w:hint="eastAsia" w:ascii="仿宋" w:hAnsi="仿宋" w:eastAsia="仿宋" w:cs="仿宋"/>
          <w:kern w:val="2"/>
          <w:sz w:val="28"/>
          <w:szCs w:val="28"/>
        </w:rPr>
        <w:t>删除了“选定基岩水准点”</w:t>
      </w:r>
      <w:r>
        <w:rPr>
          <w:rFonts w:hint="eastAsia" w:ascii="仿宋" w:hAnsi="仿宋" w:eastAsia="仿宋" w:cs="仿宋"/>
          <w:kern w:val="2"/>
          <w:sz w:val="28"/>
          <w:szCs w:val="28"/>
          <w:lang w:val="en-US" w:eastAsia="zh-CN"/>
        </w:rPr>
        <w:t>一节中的“地质勘察报告的编写参照GB5007第3.0.3条的规定执行。”（见5.1.3）</w:t>
      </w:r>
      <w:r>
        <w:rPr>
          <w:rFonts w:hint="eastAsia" w:ascii="仿宋" w:hAnsi="仿宋" w:eastAsia="仿宋" w:cs="仿宋"/>
          <w:kern w:val="2"/>
          <w:sz w:val="28"/>
          <w:szCs w:val="28"/>
        </w:rPr>
        <w:t>。</w:t>
      </w:r>
    </w:p>
    <w:p w14:paraId="7F12BAF8">
      <w:pPr>
        <w:pStyle w:val="4"/>
        <w:keepNext w:val="0"/>
        <w:keepLines w:val="0"/>
        <w:pageBreakBefore w:val="0"/>
        <w:numPr>
          <w:ilvl w:val="0"/>
          <w:numId w:val="7"/>
        </w:numPr>
        <w:kinsoku/>
        <w:wordWrap/>
        <w:overflowPunct/>
        <w:topLinePunct w:val="0"/>
        <w:bidi w:val="0"/>
        <w:spacing w:after="0" w:line="276" w:lineRule="auto"/>
        <w:ind w:firstLine="560" w:firstLineChars="200"/>
        <w:textAlignment w:val="auto"/>
        <w:rPr>
          <w:rFonts w:ascii="仿宋" w:hAnsi="仿宋" w:eastAsia="仿宋" w:cs="仿宋"/>
          <w:kern w:val="2"/>
          <w:sz w:val="28"/>
          <w:szCs w:val="28"/>
        </w:rPr>
      </w:pPr>
      <w:r>
        <w:rPr>
          <w:rFonts w:hint="eastAsia" w:ascii="仿宋" w:hAnsi="仿宋" w:eastAsia="仿宋" w:cs="仿宋"/>
          <w:kern w:val="2"/>
          <w:sz w:val="28"/>
          <w:szCs w:val="28"/>
        </w:rPr>
        <w:t>删除了“点位选定后应做的工作”</w:t>
      </w:r>
      <w:r>
        <w:rPr>
          <w:rFonts w:hint="eastAsia" w:ascii="仿宋" w:hAnsi="仿宋" w:eastAsia="仿宋" w:cs="仿宋"/>
          <w:kern w:val="2"/>
          <w:sz w:val="28"/>
          <w:szCs w:val="28"/>
          <w:lang w:val="en-US" w:eastAsia="zh-CN"/>
        </w:rPr>
        <w:t>一节中的“在选定水准路线的过程中，应逐段按A.2的要求绘制水准路线图，样式见图A.1。”（见5.1.4）</w:t>
      </w:r>
      <w:r>
        <w:rPr>
          <w:rFonts w:hint="eastAsia" w:ascii="仿宋" w:hAnsi="仿宋" w:eastAsia="仿宋" w:cs="仿宋"/>
          <w:kern w:val="2"/>
          <w:sz w:val="28"/>
          <w:szCs w:val="28"/>
        </w:rPr>
        <w:t>。</w:t>
      </w:r>
    </w:p>
    <w:p w14:paraId="095E08F5">
      <w:pPr>
        <w:pStyle w:val="4"/>
        <w:keepNext w:val="0"/>
        <w:keepLines w:val="0"/>
        <w:pageBreakBefore w:val="0"/>
        <w:numPr>
          <w:ilvl w:val="0"/>
          <w:numId w:val="7"/>
        </w:numPr>
        <w:kinsoku/>
        <w:wordWrap/>
        <w:overflowPunct/>
        <w:topLinePunct w:val="0"/>
        <w:bidi w:val="0"/>
        <w:spacing w:after="0" w:line="276" w:lineRule="auto"/>
        <w:ind w:firstLine="560" w:firstLineChars="200"/>
        <w:textAlignment w:val="auto"/>
        <w:rPr>
          <w:rFonts w:ascii="仿宋" w:hAnsi="仿宋" w:eastAsia="仿宋" w:cs="仿宋"/>
          <w:kern w:val="2"/>
          <w:sz w:val="28"/>
          <w:szCs w:val="28"/>
        </w:rPr>
      </w:pPr>
      <w:r>
        <w:rPr>
          <w:rFonts w:hint="eastAsia" w:ascii="仿宋" w:hAnsi="仿宋" w:eastAsia="仿宋" w:cs="仿宋"/>
          <w:kern w:val="2"/>
          <w:sz w:val="28"/>
          <w:szCs w:val="28"/>
        </w:rPr>
        <w:t>删除了“选点结束后应上交的资料”</w:t>
      </w:r>
      <w:r>
        <w:rPr>
          <w:rFonts w:hint="eastAsia" w:ascii="仿宋" w:hAnsi="仿宋" w:eastAsia="仿宋" w:cs="仿宋"/>
          <w:kern w:val="2"/>
          <w:sz w:val="28"/>
          <w:szCs w:val="28"/>
          <w:lang w:val="en-US" w:eastAsia="zh-CN"/>
        </w:rPr>
        <w:t>一节中的“水准路线图、”（见5.1.6）</w:t>
      </w:r>
      <w:r>
        <w:rPr>
          <w:rFonts w:hint="eastAsia" w:ascii="仿宋" w:hAnsi="仿宋" w:eastAsia="仿宋" w:cs="仿宋"/>
          <w:kern w:val="2"/>
          <w:sz w:val="28"/>
          <w:szCs w:val="28"/>
        </w:rPr>
        <w:t>。</w:t>
      </w:r>
    </w:p>
    <w:p w14:paraId="7187FEC2">
      <w:pPr>
        <w:pStyle w:val="4"/>
        <w:keepNext w:val="0"/>
        <w:keepLines w:val="0"/>
        <w:pageBreakBefore w:val="0"/>
        <w:numPr>
          <w:ilvl w:val="0"/>
          <w:numId w:val="7"/>
        </w:numPr>
        <w:kinsoku/>
        <w:wordWrap/>
        <w:overflowPunct/>
        <w:topLinePunct w:val="0"/>
        <w:bidi w:val="0"/>
        <w:spacing w:after="0" w:line="276" w:lineRule="auto"/>
        <w:ind w:firstLine="560" w:firstLineChars="200"/>
        <w:textAlignment w:val="auto"/>
        <w:rPr>
          <w:rFonts w:ascii="仿宋" w:hAnsi="仿宋" w:eastAsia="仿宋" w:cs="仿宋"/>
          <w:kern w:val="2"/>
          <w:sz w:val="28"/>
          <w:szCs w:val="28"/>
        </w:rPr>
      </w:pPr>
      <w:r>
        <w:rPr>
          <w:rFonts w:hint="eastAsia" w:ascii="仿宋" w:hAnsi="仿宋" w:eastAsia="仿宋" w:cs="仿宋"/>
          <w:kern w:val="2"/>
          <w:sz w:val="28"/>
          <w:szCs w:val="28"/>
        </w:rPr>
        <w:t>删除了“水准标志”</w:t>
      </w:r>
      <w:r>
        <w:rPr>
          <w:rFonts w:hint="eastAsia" w:ascii="仿宋" w:hAnsi="仿宋" w:eastAsia="仿宋" w:cs="仿宋"/>
          <w:kern w:val="2"/>
          <w:sz w:val="28"/>
          <w:szCs w:val="28"/>
          <w:lang w:val="en-US" w:eastAsia="zh-CN"/>
        </w:rPr>
        <w:t>一节中的“道路水准标志使用黄褐色的PVC材料制作。”（见5.2.3）</w:t>
      </w:r>
      <w:r>
        <w:rPr>
          <w:rFonts w:hint="eastAsia" w:ascii="仿宋" w:hAnsi="仿宋" w:eastAsia="仿宋" w:cs="仿宋"/>
          <w:kern w:val="2"/>
          <w:sz w:val="28"/>
          <w:szCs w:val="28"/>
        </w:rPr>
        <w:t>。</w:t>
      </w:r>
    </w:p>
    <w:p w14:paraId="294E7114">
      <w:pPr>
        <w:pStyle w:val="4"/>
        <w:keepNext w:val="0"/>
        <w:keepLines w:val="0"/>
        <w:pageBreakBefore w:val="0"/>
        <w:numPr>
          <w:ilvl w:val="0"/>
          <w:numId w:val="7"/>
        </w:numPr>
        <w:kinsoku/>
        <w:wordWrap/>
        <w:overflowPunct/>
        <w:topLinePunct w:val="0"/>
        <w:bidi w:val="0"/>
        <w:spacing w:after="0" w:line="276" w:lineRule="auto"/>
        <w:ind w:firstLine="560" w:firstLineChars="200"/>
        <w:textAlignment w:val="auto"/>
        <w:rPr>
          <w:rFonts w:ascii="仿宋" w:hAnsi="仿宋" w:eastAsia="仿宋" w:cs="仿宋"/>
          <w:kern w:val="2"/>
          <w:sz w:val="28"/>
          <w:szCs w:val="28"/>
        </w:rPr>
      </w:pPr>
      <w:r>
        <w:rPr>
          <w:rFonts w:hint="eastAsia" w:ascii="仿宋" w:hAnsi="仿宋" w:eastAsia="仿宋" w:cs="仿宋"/>
          <w:kern w:val="2"/>
          <w:sz w:val="28"/>
          <w:szCs w:val="28"/>
          <w:lang w:val="en-US" w:eastAsia="zh-CN"/>
        </w:rPr>
        <w:t>删除了“外业计算”一节中的“</w:t>
      </w:r>
      <w:r>
        <w:rPr>
          <w:rFonts w:hint="eastAsia" w:ascii="仿宋" w:hAnsi="仿宋" w:eastAsia="仿宋" w:cs="仿宋"/>
          <w:kern w:val="2"/>
          <w:sz w:val="28"/>
          <w:szCs w:val="28"/>
          <w:highlight w:val="none"/>
          <w:lang w:val="en-US" w:eastAsia="zh-CN"/>
        </w:rPr>
        <w:t>b)水准标尺温度改正。</w:t>
      </w:r>
      <w:r>
        <w:rPr>
          <w:rFonts w:hint="eastAsia" w:ascii="仿宋" w:hAnsi="仿宋" w:eastAsia="仿宋" w:cs="仿宋"/>
          <w:kern w:val="2"/>
          <w:sz w:val="28"/>
          <w:szCs w:val="28"/>
          <w:lang w:val="en-US" w:eastAsia="zh-CN"/>
        </w:rPr>
        <w:t>”和每千米水准测量的偶然中误差计算公式（见9.2.2）。</w:t>
      </w:r>
    </w:p>
    <w:p w14:paraId="3A4883E4">
      <w:pPr>
        <w:pStyle w:val="4"/>
        <w:keepNext w:val="0"/>
        <w:keepLines w:val="0"/>
        <w:pageBreakBefore w:val="0"/>
        <w:numPr>
          <w:ilvl w:val="0"/>
          <w:numId w:val="7"/>
        </w:numPr>
        <w:kinsoku/>
        <w:wordWrap/>
        <w:overflowPunct/>
        <w:topLinePunct w:val="0"/>
        <w:bidi w:val="0"/>
        <w:spacing w:after="0" w:line="276" w:lineRule="auto"/>
        <w:ind w:firstLine="560" w:firstLineChars="200"/>
        <w:textAlignment w:val="auto"/>
        <w:rPr>
          <w:rFonts w:ascii="仿宋" w:hAnsi="仿宋" w:eastAsia="仿宋" w:cs="仿宋"/>
          <w:kern w:val="2"/>
          <w:sz w:val="28"/>
          <w:szCs w:val="28"/>
        </w:rPr>
      </w:pPr>
      <w:r>
        <w:rPr>
          <w:rFonts w:hint="eastAsia" w:ascii="仿宋" w:hAnsi="仿宋" w:eastAsia="仿宋" w:cs="仿宋"/>
          <w:kern w:val="2"/>
          <w:sz w:val="28"/>
          <w:szCs w:val="28"/>
          <w:lang w:val="en-US" w:eastAsia="zh-CN"/>
        </w:rPr>
        <w:t>删掉了“水准测量成果在检查验收以后,应按照CH 1003的要求进行质量评定。”（见10.1.1）。</w:t>
      </w:r>
    </w:p>
    <w:p w14:paraId="07B217C2">
      <w:pPr>
        <w:pStyle w:val="4"/>
        <w:keepNext w:val="0"/>
        <w:keepLines w:val="0"/>
        <w:pageBreakBefore w:val="0"/>
        <w:numPr>
          <w:ilvl w:val="0"/>
          <w:numId w:val="7"/>
        </w:numPr>
        <w:kinsoku/>
        <w:wordWrap/>
        <w:overflowPunct/>
        <w:topLinePunct w:val="0"/>
        <w:bidi w:val="0"/>
        <w:spacing w:after="0" w:line="276" w:lineRule="auto"/>
        <w:ind w:firstLine="560" w:firstLineChars="200"/>
        <w:textAlignment w:val="auto"/>
        <w:rPr>
          <w:rFonts w:ascii="仿宋" w:hAnsi="仿宋" w:eastAsia="仿宋" w:cs="仿宋"/>
          <w:kern w:val="2"/>
          <w:sz w:val="28"/>
          <w:szCs w:val="28"/>
        </w:rPr>
      </w:pPr>
      <w:r>
        <w:rPr>
          <w:rFonts w:hint="eastAsia" w:ascii="仿宋" w:hAnsi="仿宋" w:eastAsia="仿宋" w:cs="仿宋"/>
          <w:kern w:val="2"/>
          <w:sz w:val="28"/>
          <w:szCs w:val="28"/>
          <w:highlight w:val="none"/>
          <w:lang w:val="en-US" w:eastAsia="zh-CN"/>
        </w:rPr>
        <w:t>删除了“选点与埋石的工具”</w:t>
      </w:r>
      <w:r>
        <w:rPr>
          <w:rFonts w:hint="eastAsia" w:ascii="仿宋" w:hAnsi="仿宋" w:eastAsia="仿宋" w:cs="仿宋"/>
          <w:kern w:val="2"/>
          <w:sz w:val="28"/>
          <w:szCs w:val="28"/>
          <w:lang w:val="en-US" w:eastAsia="zh-CN"/>
        </w:rPr>
        <w:t>（见A.1）。</w:t>
      </w:r>
    </w:p>
    <w:p w14:paraId="107EE71C">
      <w:pPr>
        <w:pStyle w:val="4"/>
        <w:keepNext w:val="0"/>
        <w:keepLines w:val="0"/>
        <w:pageBreakBefore w:val="0"/>
        <w:numPr>
          <w:ilvl w:val="0"/>
          <w:numId w:val="7"/>
        </w:numPr>
        <w:kinsoku/>
        <w:wordWrap/>
        <w:overflowPunct/>
        <w:topLinePunct w:val="0"/>
        <w:bidi w:val="0"/>
        <w:spacing w:after="0" w:line="276" w:lineRule="auto"/>
        <w:ind w:firstLine="560" w:firstLineChars="200"/>
        <w:textAlignment w:val="auto"/>
        <w:rPr>
          <w:rFonts w:ascii="仿宋" w:hAnsi="仿宋" w:eastAsia="仿宋" w:cs="仿宋"/>
          <w:kern w:val="2"/>
          <w:sz w:val="28"/>
          <w:szCs w:val="28"/>
          <w:highlight w:val="none"/>
        </w:rPr>
      </w:pPr>
      <w:r>
        <w:rPr>
          <w:rFonts w:hint="eastAsia" w:ascii="仿宋" w:hAnsi="仿宋" w:eastAsia="仿宋" w:cs="仿宋"/>
          <w:kern w:val="2"/>
          <w:sz w:val="28"/>
          <w:szCs w:val="28"/>
          <w:highlight w:val="none"/>
          <w:lang w:val="en-US" w:eastAsia="zh-CN"/>
        </w:rPr>
        <w:t>删除了“水准路线图的绘制”</w:t>
      </w:r>
      <w:r>
        <w:rPr>
          <w:rFonts w:hint="eastAsia" w:ascii="仿宋" w:hAnsi="仿宋" w:eastAsia="仿宋" w:cs="仿宋"/>
          <w:kern w:val="2"/>
          <w:sz w:val="28"/>
          <w:szCs w:val="28"/>
          <w:lang w:val="en-US" w:eastAsia="zh-CN"/>
        </w:rPr>
        <w:t>（见A.2）。</w:t>
      </w:r>
    </w:p>
    <w:p w14:paraId="1132FE4E">
      <w:pPr>
        <w:pStyle w:val="4"/>
        <w:keepNext w:val="0"/>
        <w:keepLines w:val="0"/>
        <w:pageBreakBefore w:val="0"/>
        <w:numPr>
          <w:ilvl w:val="0"/>
          <w:numId w:val="7"/>
        </w:numPr>
        <w:kinsoku/>
        <w:wordWrap/>
        <w:overflowPunct/>
        <w:topLinePunct w:val="0"/>
        <w:bidi w:val="0"/>
        <w:spacing w:after="0" w:line="276" w:lineRule="auto"/>
        <w:ind w:firstLine="560" w:firstLineChars="200"/>
        <w:textAlignment w:val="auto"/>
        <w:rPr>
          <w:rFonts w:ascii="仿宋" w:hAnsi="仿宋" w:eastAsia="仿宋" w:cs="仿宋"/>
          <w:kern w:val="2"/>
          <w:sz w:val="28"/>
          <w:szCs w:val="28"/>
          <w:highlight w:val="none"/>
        </w:rPr>
      </w:pPr>
      <w:r>
        <w:rPr>
          <w:rFonts w:hint="eastAsia" w:ascii="仿宋" w:hAnsi="仿宋" w:eastAsia="仿宋" w:cs="仿宋"/>
          <w:kern w:val="2"/>
          <w:sz w:val="28"/>
          <w:szCs w:val="28"/>
          <w:highlight w:val="none"/>
          <w:lang w:val="en-US" w:eastAsia="zh-CN"/>
        </w:rPr>
        <w:t>删除了“一等水准点之记”图中的“所在图幅”和“地下水深度”（见图A.2）。</w:t>
      </w:r>
    </w:p>
    <w:p w14:paraId="5DC8DE7B">
      <w:pPr>
        <w:pStyle w:val="4"/>
        <w:keepNext w:val="0"/>
        <w:keepLines w:val="0"/>
        <w:pageBreakBefore w:val="0"/>
        <w:numPr>
          <w:ilvl w:val="0"/>
          <w:numId w:val="7"/>
        </w:numPr>
        <w:kinsoku/>
        <w:wordWrap/>
        <w:overflowPunct/>
        <w:topLinePunct w:val="0"/>
        <w:bidi w:val="0"/>
        <w:spacing w:after="0" w:line="276" w:lineRule="auto"/>
        <w:ind w:firstLine="560" w:firstLineChars="200"/>
        <w:textAlignment w:val="auto"/>
        <w:rPr>
          <w:rFonts w:ascii="仿宋" w:hAnsi="仿宋" w:eastAsia="仿宋" w:cs="仿宋"/>
          <w:kern w:val="2"/>
          <w:sz w:val="28"/>
          <w:szCs w:val="28"/>
          <w:highlight w:val="none"/>
        </w:rPr>
      </w:pPr>
      <w:r>
        <w:rPr>
          <w:rFonts w:hint="eastAsia" w:ascii="仿宋" w:hAnsi="仿宋" w:eastAsia="仿宋" w:cs="仿宋"/>
          <w:kern w:val="2"/>
          <w:sz w:val="28"/>
          <w:szCs w:val="28"/>
          <w:highlight w:val="none"/>
          <w:lang w:val="en-US" w:eastAsia="zh-CN"/>
        </w:rPr>
        <w:t>删除了“水准标尺温度改正”（见D</w:t>
      </w:r>
      <w:r>
        <w:rPr>
          <w:rFonts w:hint="eastAsia" w:ascii="仿宋" w:hAnsi="仿宋" w:eastAsia="仿宋" w:cs="仿宋"/>
          <w:kern w:val="2"/>
          <w:sz w:val="28"/>
          <w:szCs w:val="28"/>
          <w:highlight w:val="none"/>
          <w:lang w:val="en-US" w:eastAsia="zh-CN"/>
        </w:rPr>
        <w:tab/>
      </w:r>
      <w:r>
        <w:rPr>
          <w:rFonts w:hint="eastAsia" w:ascii="仿宋" w:hAnsi="仿宋" w:eastAsia="仿宋" w:cs="仿宋"/>
          <w:kern w:val="2"/>
          <w:sz w:val="28"/>
          <w:szCs w:val="28"/>
          <w:highlight w:val="none"/>
          <w:lang w:val="en-US" w:eastAsia="zh-CN"/>
        </w:rPr>
        <w:t>.2.2）。</w:t>
      </w:r>
    </w:p>
    <w:p w14:paraId="0C937C68">
      <w:pPr>
        <w:pStyle w:val="19"/>
        <w:keepNext w:val="0"/>
        <w:keepLines w:val="0"/>
        <w:pageBreakBefore w:val="0"/>
        <w:kinsoku/>
        <w:wordWrap/>
        <w:overflowPunct/>
        <w:topLinePunct w:val="0"/>
        <w:bidi w:val="0"/>
        <w:spacing w:line="276" w:lineRule="auto"/>
        <w:ind w:firstLine="602"/>
        <w:textAlignment w:val="auto"/>
        <w:rPr>
          <w:rFonts w:ascii="仿宋" w:hAnsi="仿宋" w:eastAsia="仿宋" w:cs="仿宋"/>
          <w:kern w:val="2"/>
          <w:sz w:val="28"/>
          <w:szCs w:val="28"/>
        </w:rPr>
      </w:pPr>
      <w:r>
        <w:rPr>
          <w:rFonts w:hint="eastAsia" w:ascii="仿宋" w:hAnsi="仿宋" w:eastAsia="仿宋" w:cs="仿宋"/>
          <w:b/>
          <w:bCs/>
          <w:kern w:val="2"/>
          <w:sz w:val="28"/>
          <w:szCs w:val="28"/>
          <w:highlight w:val="none"/>
        </w:rPr>
        <w:t>3）更</w:t>
      </w:r>
      <w:r>
        <w:rPr>
          <w:rFonts w:hint="eastAsia" w:ascii="仿宋" w:hAnsi="仿宋" w:eastAsia="仿宋" w:cs="仿宋"/>
          <w:b/>
          <w:bCs/>
          <w:kern w:val="2"/>
          <w:sz w:val="28"/>
          <w:szCs w:val="28"/>
        </w:rPr>
        <w:t>改的内容</w:t>
      </w:r>
    </w:p>
    <w:p w14:paraId="06AD27B1">
      <w:pPr>
        <w:pStyle w:val="4"/>
        <w:keepNext w:val="0"/>
        <w:keepLines w:val="0"/>
        <w:pageBreakBefore w:val="0"/>
        <w:numPr>
          <w:ilvl w:val="0"/>
          <w:numId w:val="6"/>
        </w:numPr>
        <w:kinsoku/>
        <w:wordWrap/>
        <w:overflowPunct/>
        <w:topLinePunct w:val="0"/>
        <w:bidi w:val="0"/>
        <w:spacing w:after="0" w:line="276" w:lineRule="auto"/>
        <w:ind w:firstLine="560" w:firstLineChars="200"/>
        <w:textAlignment w:val="auto"/>
        <w:rPr>
          <w:rFonts w:ascii="仿宋" w:hAnsi="仿宋" w:eastAsia="仿宋" w:cs="仿宋"/>
          <w:kern w:val="2"/>
          <w:sz w:val="28"/>
          <w:szCs w:val="28"/>
        </w:rPr>
      </w:pPr>
      <w:r>
        <w:rPr>
          <w:rFonts w:hint="eastAsia" w:ascii="仿宋" w:hAnsi="仿宋" w:eastAsia="仿宋" w:cs="仿宋"/>
          <w:kern w:val="2"/>
          <w:sz w:val="28"/>
          <w:szCs w:val="28"/>
        </w:rPr>
        <w:t>在“规范性引用文件”</w:t>
      </w:r>
      <w:r>
        <w:rPr>
          <w:rFonts w:hint="eastAsia" w:ascii="仿宋" w:hAnsi="仿宋" w:eastAsia="仿宋" w:cs="仿宋"/>
          <w:kern w:val="2"/>
          <w:sz w:val="28"/>
          <w:szCs w:val="28"/>
          <w:lang w:val="en-US" w:eastAsia="zh-CN"/>
        </w:rPr>
        <w:t>部分将</w:t>
      </w:r>
      <w:r>
        <w:rPr>
          <w:rFonts w:hint="eastAsia" w:ascii="仿宋" w:hAnsi="仿宋" w:eastAsia="仿宋" w:cs="仿宋"/>
          <w:kern w:val="2"/>
          <w:sz w:val="28"/>
          <w:szCs w:val="28"/>
        </w:rPr>
        <w:t>“GB/T 18314  卫星导航定位测量规范”</w:t>
      </w:r>
      <w:r>
        <w:rPr>
          <w:rFonts w:hint="eastAsia" w:ascii="仿宋" w:hAnsi="仿宋" w:eastAsia="仿宋" w:cs="仿宋"/>
          <w:kern w:val="2"/>
          <w:sz w:val="28"/>
          <w:szCs w:val="28"/>
          <w:lang w:val="en-US" w:eastAsia="zh-CN"/>
        </w:rPr>
        <w:t>更改为</w:t>
      </w:r>
      <w:r>
        <w:rPr>
          <w:rFonts w:hint="eastAsia" w:ascii="仿宋" w:hAnsi="仿宋" w:eastAsia="仿宋" w:cs="仿宋"/>
          <w:kern w:val="2"/>
          <w:sz w:val="28"/>
          <w:szCs w:val="28"/>
        </w:rPr>
        <w:t>“GB/T 18314  全球导航卫星系统（GNSS）测量规范”</w:t>
      </w:r>
      <w:r>
        <w:rPr>
          <w:rFonts w:hint="eastAsia" w:ascii="仿宋" w:hAnsi="仿宋" w:eastAsia="仿宋" w:cs="仿宋"/>
          <w:kern w:val="2"/>
          <w:sz w:val="28"/>
          <w:szCs w:val="28"/>
          <w:lang w:eastAsia="zh-CN"/>
        </w:rPr>
        <w:t>、</w:t>
      </w:r>
      <w:r>
        <w:rPr>
          <w:rFonts w:hint="eastAsia" w:ascii="仿宋" w:hAnsi="仿宋" w:eastAsia="仿宋" w:cs="仿宋"/>
          <w:kern w:val="2"/>
          <w:sz w:val="28"/>
          <w:szCs w:val="28"/>
          <w:lang w:val="en-US" w:eastAsia="zh-CN"/>
        </w:rPr>
        <w:t>将“GB 50007-2002  建筑地基基础设计规范”更改为“GB 50007-2011  建筑地基基础设计规范”</w:t>
      </w:r>
      <w:r>
        <w:rPr>
          <w:rFonts w:hint="eastAsia" w:ascii="仿宋" w:hAnsi="仿宋" w:eastAsia="仿宋" w:cs="仿宋"/>
          <w:kern w:val="2"/>
          <w:sz w:val="28"/>
          <w:szCs w:val="28"/>
        </w:rPr>
        <w:t>（见2）。</w:t>
      </w:r>
    </w:p>
    <w:p w14:paraId="27DA556E">
      <w:pPr>
        <w:pStyle w:val="4"/>
        <w:keepNext w:val="0"/>
        <w:keepLines w:val="0"/>
        <w:pageBreakBefore w:val="0"/>
        <w:numPr>
          <w:ilvl w:val="0"/>
          <w:numId w:val="6"/>
        </w:numPr>
        <w:kinsoku/>
        <w:wordWrap/>
        <w:overflowPunct/>
        <w:topLinePunct w:val="0"/>
        <w:bidi w:val="0"/>
        <w:spacing w:after="0" w:line="276" w:lineRule="auto"/>
        <w:ind w:firstLine="560" w:firstLineChars="200"/>
        <w:textAlignment w:val="auto"/>
        <w:rPr>
          <w:rFonts w:ascii="仿宋" w:hAnsi="仿宋" w:eastAsia="仿宋" w:cs="仿宋"/>
          <w:kern w:val="2"/>
          <w:sz w:val="28"/>
          <w:szCs w:val="28"/>
        </w:rPr>
      </w:pPr>
      <w:r>
        <w:rPr>
          <w:rFonts w:hint="eastAsia" w:ascii="仿宋" w:hAnsi="仿宋" w:eastAsia="仿宋" w:cs="仿宋"/>
          <w:kern w:val="2"/>
          <w:sz w:val="28"/>
          <w:szCs w:val="28"/>
          <w:lang w:val="en-US" w:eastAsia="zh-CN"/>
        </w:rPr>
        <w:t>调整“水准网的技术设计”在文中的位置，从4.8移动到4.3，受到影响的编号顺延</w:t>
      </w:r>
      <w:r>
        <w:rPr>
          <w:rFonts w:hint="eastAsia" w:ascii="仿宋" w:hAnsi="仿宋" w:eastAsia="仿宋" w:cs="仿宋"/>
          <w:kern w:val="2"/>
          <w:sz w:val="28"/>
          <w:szCs w:val="28"/>
        </w:rPr>
        <w:t>（见</w:t>
      </w:r>
      <w:r>
        <w:rPr>
          <w:rFonts w:hint="eastAsia" w:ascii="仿宋" w:hAnsi="仿宋" w:eastAsia="仿宋" w:cs="仿宋"/>
          <w:kern w:val="2"/>
          <w:sz w:val="28"/>
          <w:szCs w:val="28"/>
          <w:lang w:val="en-US" w:eastAsia="zh-CN"/>
        </w:rPr>
        <w:t>第4章</w:t>
      </w:r>
      <w:r>
        <w:rPr>
          <w:rFonts w:hint="eastAsia" w:ascii="仿宋" w:hAnsi="仿宋" w:eastAsia="仿宋" w:cs="仿宋"/>
          <w:kern w:val="2"/>
          <w:sz w:val="28"/>
          <w:szCs w:val="28"/>
          <w:lang w:eastAsia="zh-CN"/>
        </w:rPr>
        <w:t>）</w:t>
      </w:r>
      <w:r>
        <w:rPr>
          <w:rFonts w:hint="eastAsia" w:ascii="仿宋" w:hAnsi="仿宋" w:eastAsia="仿宋" w:cs="仿宋"/>
          <w:kern w:val="2"/>
          <w:sz w:val="28"/>
          <w:szCs w:val="28"/>
        </w:rPr>
        <w:t>。</w:t>
      </w:r>
    </w:p>
    <w:p w14:paraId="34E21BAC">
      <w:pPr>
        <w:pStyle w:val="4"/>
        <w:keepNext w:val="0"/>
        <w:keepLines w:val="0"/>
        <w:pageBreakBefore w:val="0"/>
        <w:numPr>
          <w:ilvl w:val="0"/>
          <w:numId w:val="6"/>
        </w:numPr>
        <w:kinsoku/>
        <w:wordWrap/>
        <w:overflowPunct/>
        <w:topLinePunct w:val="0"/>
        <w:bidi w:val="0"/>
        <w:spacing w:after="0" w:line="276" w:lineRule="auto"/>
        <w:ind w:firstLine="560" w:firstLineChars="200"/>
        <w:textAlignment w:val="auto"/>
        <w:rPr>
          <w:rFonts w:ascii="仿宋" w:hAnsi="仿宋" w:eastAsia="仿宋" w:cs="仿宋"/>
          <w:kern w:val="2"/>
          <w:sz w:val="28"/>
          <w:szCs w:val="28"/>
        </w:rPr>
      </w:pPr>
      <w:r>
        <w:rPr>
          <w:rFonts w:hint="eastAsia" w:ascii="仿宋" w:hAnsi="仿宋" w:eastAsia="仿宋" w:cs="仿宋"/>
          <w:kern w:val="2"/>
          <w:sz w:val="28"/>
          <w:szCs w:val="28"/>
          <w:lang w:val="en-US" w:eastAsia="zh-CN"/>
        </w:rPr>
        <w:t>将全文中的“罗针”更改为“指北针”。</w:t>
      </w:r>
    </w:p>
    <w:p w14:paraId="08827EEC">
      <w:pPr>
        <w:pStyle w:val="4"/>
        <w:keepNext w:val="0"/>
        <w:keepLines w:val="0"/>
        <w:pageBreakBefore w:val="0"/>
        <w:numPr>
          <w:ilvl w:val="0"/>
          <w:numId w:val="6"/>
        </w:numPr>
        <w:kinsoku/>
        <w:wordWrap/>
        <w:overflowPunct/>
        <w:topLinePunct w:val="0"/>
        <w:bidi w:val="0"/>
        <w:spacing w:after="0" w:line="276" w:lineRule="auto"/>
        <w:ind w:firstLine="560" w:firstLineChars="200"/>
        <w:textAlignment w:val="auto"/>
        <w:rPr>
          <w:rFonts w:ascii="仿宋" w:hAnsi="仿宋" w:eastAsia="仿宋" w:cs="仿宋"/>
          <w:kern w:val="2"/>
          <w:sz w:val="28"/>
          <w:szCs w:val="28"/>
        </w:rPr>
      </w:pPr>
      <w:r>
        <w:rPr>
          <w:rFonts w:hint="eastAsia" w:ascii="仿宋" w:hAnsi="仿宋" w:eastAsia="仿宋" w:cs="仿宋"/>
          <w:kern w:val="2"/>
          <w:sz w:val="28"/>
          <w:szCs w:val="28"/>
        </w:rPr>
        <w:t>在“标石的外部整饰”一节</w:t>
      </w:r>
      <w:r>
        <w:rPr>
          <w:rFonts w:hint="eastAsia" w:ascii="仿宋" w:hAnsi="仿宋" w:eastAsia="仿宋" w:cs="仿宋"/>
          <w:kern w:val="2"/>
          <w:sz w:val="28"/>
          <w:szCs w:val="28"/>
          <w:lang w:val="en-US" w:eastAsia="zh-CN"/>
        </w:rPr>
        <w:t>将“d)埋设在政府机关、学校、住宅院内以及埋设在耕地内的基本水准标石和普通水准标石，应按A.6图A.22的规格建造保护井，加盖保护盘，盘面与地面齐平。道路水准点的上部埋设A.6图A.26规格的保护框，顶面与地面齐平；”更改为“d)埋设在政府机关、学校、住宅院内等城市区域的基本水准标石和普通水准标石，按A.6图A.21的规格建造保护井，加盖保护盖，盘面与地面齐平。也可根据现场环境按照A.6图A.22的规格埋设球墨铸铁或复合树脂井盖；”（见5.2.5）。</w:t>
      </w:r>
    </w:p>
    <w:p w14:paraId="30F87EF4">
      <w:pPr>
        <w:pStyle w:val="4"/>
        <w:keepNext w:val="0"/>
        <w:keepLines w:val="0"/>
        <w:pageBreakBefore w:val="0"/>
        <w:numPr>
          <w:ilvl w:val="0"/>
          <w:numId w:val="6"/>
        </w:numPr>
        <w:kinsoku/>
        <w:wordWrap/>
        <w:overflowPunct/>
        <w:topLinePunct w:val="0"/>
        <w:bidi w:val="0"/>
        <w:spacing w:after="0" w:line="276" w:lineRule="auto"/>
        <w:ind w:firstLine="560" w:firstLineChars="200"/>
        <w:textAlignment w:val="auto"/>
        <w:rPr>
          <w:rFonts w:ascii="仿宋" w:hAnsi="仿宋" w:eastAsia="仿宋" w:cs="仿宋"/>
          <w:kern w:val="2"/>
          <w:sz w:val="28"/>
          <w:szCs w:val="28"/>
        </w:rPr>
      </w:pPr>
      <w:r>
        <w:rPr>
          <w:rFonts w:hint="eastAsia" w:ascii="仿宋" w:hAnsi="仿宋" w:eastAsia="仿宋" w:cs="仿宋"/>
          <w:kern w:val="2"/>
          <w:sz w:val="28"/>
          <w:szCs w:val="28"/>
          <w:lang w:val="en-US" w:eastAsia="zh-CN"/>
        </w:rPr>
        <w:t>在“水准标石占地与托管”一节将“应向当地乡、镇以上政府有关部门（道路水准点向道路管理部门）办理委托保管手续”修改为“应制作委托保管书，交建设方由地方测量标志主管部门办理委托保管手续”（见5.2.7）。</w:t>
      </w:r>
    </w:p>
    <w:p w14:paraId="631D713D">
      <w:pPr>
        <w:pStyle w:val="4"/>
        <w:keepNext w:val="0"/>
        <w:keepLines w:val="0"/>
        <w:pageBreakBefore w:val="0"/>
        <w:numPr>
          <w:ilvl w:val="0"/>
          <w:numId w:val="6"/>
        </w:numPr>
        <w:kinsoku/>
        <w:wordWrap/>
        <w:overflowPunct/>
        <w:topLinePunct w:val="0"/>
        <w:bidi w:val="0"/>
        <w:spacing w:after="0" w:line="276" w:lineRule="auto"/>
        <w:ind w:firstLine="560" w:firstLineChars="200"/>
        <w:textAlignment w:val="auto"/>
        <w:rPr>
          <w:rFonts w:ascii="仿宋" w:hAnsi="仿宋" w:eastAsia="仿宋" w:cs="仿宋"/>
          <w:kern w:val="2"/>
          <w:sz w:val="28"/>
          <w:szCs w:val="28"/>
        </w:rPr>
      </w:pPr>
      <w:r>
        <w:rPr>
          <w:rFonts w:hint="eastAsia" w:ascii="仿宋" w:hAnsi="仿宋" w:eastAsia="仿宋" w:cs="仿宋"/>
          <w:kern w:val="2"/>
          <w:sz w:val="28"/>
          <w:szCs w:val="28"/>
          <w:lang w:val="en-US" w:eastAsia="zh-CN"/>
        </w:rPr>
        <w:t>在“埋石结束后应上交的资料”一节将“b)埋石后的水准点之记及路线图、标石建造关键工序照片或数据文件；”更改为“b)埋石后的水准点之记及选埋网图、标石建造关键工序照片或数据文件；”（见5.2.9）。</w:t>
      </w:r>
    </w:p>
    <w:p w14:paraId="6EDA7D77">
      <w:pPr>
        <w:pStyle w:val="4"/>
        <w:keepNext w:val="0"/>
        <w:keepLines w:val="0"/>
        <w:pageBreakBefore w:val="0"/>
        <w:numPr>
          <w:ilvl w:val="0"/>
          <w:numId w:val="6"/>
        </w:numPr>
        <w:kinsoku/>
        <w:wordWrap/>
        <w:overflowPunct/>
        <w:topLinePunct w:val="0"/>
        <w:bidi w:val="0"/>
        <w:spacing w:after="0" w:line="276" w:lineRule="auto"/>
        <w:ind w:firstLine="560" w:firstLineChars="200"/>
        <w:textAlignment w:val="auto"/>
        <w:rPr>
          <w:rFonts w:ascii="仿宋" w:hAnsi="仿宋" w:eastAsia="仿宋" w:cs="仿宋"/>
          <w:kern w:val="2"/>
          <w:sz w:val="28"/>
          <w:szCs w:val="28"/>
        </w:rPr>
      </w:pPr>
      <w:r>
        <w:rPr>
          <w:rFonts w:hint="eastAsia" w:ascii="仿宋" w:hAnsi="仿宋" w:eastAsia="仿宋" w:cs="仿宋"/>
          <w:kern w:val="2"/>
          <w:sz w:val="28"/>
          <w:szCs w:val="28"/>
          <w:lang w:val="en-US" w:eastAsia="zh-CN"/>
        </w:rPr>
        <w:t>将全文中的GPS设备，方法等更改为GNSS设备，方法。</w:t>
      </w:r>
    </w:p>
    <w:p w14:paraId="0A31B992">
      <w:pPr>
        <w:pStyle w:val="4"/>
        <w:keepNext w:val="0"/>
        <w:keepLines w:val="0"/>
        <w:pageBreakBefore w:val="0"/>
        <w:numPr>
          <w:ilvl w:val="0"/>
          <w:numId w:val="6"/>
        </w:numPr>
        <w:kinsoku/>
        <w:wordWrap/>
        <w:overflowPunct/>
        <w:topLinePunct w:val="0"/>
        <w:bidi w:val="0"/>
        <w:spacing w:after="0" w:line="276" w:lineRule="auto"/>
        <w:ind w:firstLine="560" w:firstLineChars="200"/>
        <w:textAlignment w:val="auto"/>
        <w:rPr>
          <w:rFonts w:ascii="仿宋" w:hAnsi="仿宋" w:eastAsia="仿宋" w:cs="仿宋"/>
          <w:kern w:val="2"/>
          <w:sz w:val="28"/>
          <w:szCs w:val="28"/>
        </w:rPr>
      </w:pPr>
      <w:r>
        <w:rPr>
          <w:rFonts w:hint="eastAsia" w:ascii="仿宋" w:hAnsi="仿宋" w:eastAsia="仿宋" w:cs="仿宋"/>
          <w:kern w:val="2"/>
          <w:sz w:val="28"/>
          <w:szCs w:val="28"/>
          <w:lang w:val="en-US" w:eastAsia="zh-CN"/>
        </w:rPr>
        <w:t>将“仪器检校”中的“水准仪的检校按JJG 425规定执行，水准标尺的检校按JJG 8规定执行，光电测距仪的检校按JJG 703规定执行，光学经纬仪的检校按JJG 414规定执行，GNSS接收设备的检校按JJF 1118规定执行。”修改为“水准仪的检校按JJG 425和JJG (测绘) 2101的规定执行，水准标尺的检校按JJG 8规定执行，光电测距仪的检校按JJG 703和JJG (测绘) 2102的规定执行，光学经纬仪的检校按JJG 414规定执行，GNSS接收设备的检校按JJG 1200规定执行。”（见6.2.1）。</w:t>
      </w:r>
    </w:p>
    <w:p w14:paraId="5143BD2D">
      <w:pPr>
        <w:pStyle w:val="4"/>
        <w:keepNext w:val="0"/>
        <w:keepLines w:val="0"/>
        <w:pageBreakBefore w:val="0"/>
        <w:numPr>
          <w:ilvl w:val="0"/>
          <w:numId w:val="6"/>
        </w:numPr>
        <w:kinsoku/>
        <w:wordWrap/>
        <w:overflowPunct/>
        <w:topLinePunct w:val="0"/>
        <w:bidi w:val="0"/>
        <w:spacing w:after="0" w:line="276" w:lineRule="auto"/>
        <w:ind w:firstLine="560" w:firstLineChars="200"/>
        <w:textAlignment w:val="auto"/>
        <w:rPr>
          <w:rFonts w:ascii="仿宋" w:hAnsi="仿宋" w:eastAsia="仿宋" w:cs="仿宋"/>
          <w:kern w:val="2"/>
          <w:sz w:val="28"/>
          <w:szCs w:val="28"/>
        </w:rPr>
      </w:pPr>
      <w:r>
        <w:rPr>
          <w:rFonts w:hint="eastAsia" w:ascii="仿宋" w:hAnsi="仿宋" w:eastAsia="仿宋" w:cs="仿宋"/>
          <w:kern w:val="2"/>
          <w:sz w:val="28"/>
          <w:szCs w:val="28"/>
          <w:lang w:val="en-US" w:eastAsia="zh-CN"/>
        </w:rPr>
        <w:t>将“仪器检校”一节中的内容修改为“数字水准仪，整个作业期间应每天开测前进行电子i角测定，并与上一次电子i角较差不应超过5″。若开测为未结束测段，则在新测段开始前进行测定。”（见6.2.4）。</w:t>
      </w:r>
    </w:p>
    <w:p w14:paraId="77311C27">
      <w:pPr>
        <w:pStyle w:val="4"/>
        <w:keepNext w:val="0"/>
        <w:keepLines w:val="0"/>
        <w:pageBreakBefore w:val="0"/>
        <w:numPr>
          <w:ilvl w:val="0"/>
          <w:numId w:val="5"/>
        </w:numPr>
        <w:kinsoku/>
        <w:wordWrap/>
        <w:overflowPunct/>
        <w:topLinePunct w:val="0"/>
        <w:bidi w:val="0"/>
        <w:spacing w:after="0" w:line="276" w:lineRule="auto"/>
        <w:ind w:firstLine="560" w:firstLineChars="200"/>
        <w:textAlignment w:val="auto"/>
        <w:rPr>
          <w:rFonts w:ascii="仿宋" w:hAnsi="仿宋" w:eastAsia="仿宋" w:cs="仿宋"/>
          <w:kern w:val="2"/>
          <w:sz w:val="28"/>
          <w:szCs w:val="28"/>
        </w:rPr>
      </w:pPr>
      <w:r>
        <w:rPr>
          <w:rFonts w:hint="eastAsia" w:ascii="仿宋" w:hAnsi="仿宋" w:eastAsia="仿宋" w:cs="仿宋"/>
          <w:kern w:val="2"/>
          <w:sz w:val="28"/>
          <w:szCs w:val="28"/>
          <w:lang w:eastAsia="zh-CN"/>
        </w:rPr>
        <w:t>“仪器技术指标”</w:t>
      </w:r>
      <w:r>
        <w:rPr>
          <w:rFonts w:hint="eastAsia" w:ascii="仿宋" w:hAnsi="仿宋" w:eastAsia="仿宋" w:cs="仿宋"/>
          <w:kern w:val="2"/>
          <w:sz w:val="28"/>
          <w:szCs w:val="28"/>
          <w:lang w:val="en-US" w:eastAsia="zh-CN"/>
        </w:rPr>
        <w:t>一节将“水准仪器技术指标按表6规定执行。”修改为“水准测量的仪器技术指标按表6规定执行。”（见6.3）。</w:t>
      </w:r>
    </w:p>
    <w:p w14:paraId="3C33EA4F">
      <w:pPr>
        <w:pStyle w:val="4"/>
        <w:keepNext w:val="0"/>
        <w:keepLines w:val="0"/>
        <w:pageBreakBefore w:val="0"/>
        <w:numPr>
          <w:ilvl w:val="0"/>
          <w:numId w:val="6"/>
        </w:numPr>
        <w:kinsoku/>
        <w:wordWrap/>
        <w:overflowPunct/>
        <w:topLinePunct w:val="0"/>
        <w:bidi w:val="0"/>
        <w:spacing w:after="0" w:line="276" w:lineRule="auto"/>
        <w:ind w:firstLine="560" w:firstLineChars="200"/>
        <w:textAlignment w:val="auto"/>
        <w:rPr>
          <w:rFonts w:ascii="仿宋" w:hAnsi="仿宋" w:eastAsia="仿宋" w:cs="仿宋"/>
          <w:kern w:val="2"/>
          <w:sz w:val="28"/>
          <w:szCs w:val="28"/>
        </w:rPr>
      </w:pPr>
      <w:r>
        <w:rPr>
          <w:rFonts w:hint="eastAsia" w:ascii="仿宋" w:hAnsi="仿宋" w:eastAsia="仿宋" w:cs="仿宋"/>
          <w:kern w:val="2"/>
          <w:sz w:val="28"/>
          <w:szCs w:val="28"/>
          <w:lang w:eastAsia="zh-CN"/>
        </w:rPr>
        <w:t>“</w:t>
      </w:r>
      <w:r>
        <w:rPr>
          <w:rFonts w:hint="eastAsia" w:ascii="仿宋" w:hAnsi="仿宋" w:eastAsia="仿宋" w:cs="仿宋"/>
          <w:kern w:val="2"/>
          <w:sz w:val="28"/>
          <w:szCs w:val="28"/>
          <w:lang w:val="en-US" w:eastAsia="zh-CN"/>
        </w:rPr>
        <w:t>仪器设备</w:t>
      </w:r>
      <w:r>
        <w:rPr>
          <w:rFonts w:hint="eastAsia" w:ascii="仿宋" w:hAnsi="仿宋" w:eastAsia="仿宋" w:cs="仿宋"/>
          <w:kern w:val="2"/>
          <w:sz w:val="28"/>
          <w:szCs w:val="28"/>
          <w:lang w:eastAsia="zh-CN"/>
        </w:rPr>
        <w:t>”</w:t>
      </w:r>
      <w:r>
        <w:rPr>
          <w:rFonts w:hint="eastAsia" w:ascii="仿宋" w:hAnsi="仿宋" w:eastAsia="仿宋" w:cs="仿宋"/>
          <w:kern w:val="2"/>
          <w:sz w:val="28"/>
          <w:szCs w:val="28"/>
          <w:lang w:val="en-US" w:eastAsia="zh-CN"/>
        </w:rPr>
        <w:t>一节将“GNSS接收机应为双频接收机，标称精度应达到或优于5 mm＋1×10-6×d；”和“GNSS接收机应按照JJF 1118的要求进行校准。”分别修改为“GNSS接收机应为多模多频收机，标称精度应达到或优于5 mm＋1ppm×d；”和“GNSS接收机检验的内容、方法和技术要求，按照CH/T8016的规定执行。”（见8.10.4.1和8.10.4.2）。</w:t>
      </w:r>
    </w:p>
    <w:p w14:paraId="0119A770">
      <w:pPr>
        <w:pStyle w:val="4"/>
        <w:keepNext w:val="0"/>
        <w:keepLines w:val="0"/>
        <w:pageBreakBefore w:val="0"/>
        <w:numPr>
          <w:ilvl w:val="0"/>
          <w:numId w:val="6"/>
        </w:numPr>
        <w:kinsoku/>
        <w:wordWrap/>
        <w:overflowPunct/>
        <w:topLinePunct w:val="0"/>
        <w:bidi w:val="0"/>
        <w:spacing w:after="0" w:line="276" w:lineRule="auto"/>
        <w:ind w:firstLine="560" w:firstLineChars="200"/>
        <w:textAlignment w:val="auto"/>
        <w:rPr>
          <w:rFonts w:ascii="仿宋" w:hAnsi="仿宋" w:eastAsia="仿宋" w:cs="仿宋"/>
          <w:kern w:val="2"/>
          <w:sz w:val="28"/>
          <w:szCs w:val="28"/>
        </w:rPr>
      </w:pPr>
      <w:r>
        <w:rPr>
          <w:rFonts w:hint="eastAsia" w:ascii="仿宋" w:hAnsi="仿宋" w:eastAsia="仿宋" w:cs="仿宋"/>
          <w:kern w:val="2"/>
          <w:sz w:val="28"/>
          <w:szCs w:val="28"/>
          <w:lang w:eastAsia="zh-CN"/>
        </w:rPr>
        <w:t>“</w:t>
      </w:r>
      <w:r>
        <w:rPr>
          <w:rFonts w:hint="eastAsia" w:ascii="仿宋" w:hAnsi="仿宋" w:eastAsia="仿宋" w:cs="仿宋"/>
          <w:kern w:val="2"/>
          <w:sz w:val="28"/>
          <w:szCs w:val="28"/>
        </w:rPr>
        <w:t>GNSS观测应符合表15的规定</w:t>
      </w:r>
      <w:r>
        <w:rPr>
          <w:rFonts w:hint="eastAsia" w:ascii="仿宋" w:hAnsi="仿宋" w:eastAsia="仿宋" w:cs="仿宋"/>
          <w:kern w:val="2"/>
          <w:sz w:val="28"/>
          <w:szCs w:val="28"/>
          <w:lang w:eastAsia="zh-CN"/>
        </w:rPr>
        <w:t>”</w:t>
      </w:r>
      <w:r>
        <w:rPr>
          <w:rFonts w:hint="eastAsia" w:ascii="仿宋" w:hAnsi="仿宋" w:eastAsia="仿宋" w:cs="仿宋"/>
          <w:kern w:val="2"/>
          <w:sz w:val="28"/>
          <w:szCs w:val="28"/>
          <w:lang w:val="en-US" w:eastAsia="zh-CN"/>
        </w:rPr>
        <w:t>一节中，将一、二等的采样间隔均修改为15s（见8.10.5.3）。</w:t>
      </w:r>
    </w:p>
    <w:p w14:paraId="3CD25F5C">
      <w:pPr>
        <w:pStyle w:val="4"/>
        <w:keepNext w:val="0"/>
        <w:keepLines w:val="0"/>
        <w:pageBreakBefore w:val="0"/>
        <w:numPr>
          <w:ilvl w:val="0"/>
          <w:numId w:val="6"/>
        </w:numPr>
        <w:kinsoku/>
        <w:wordWrap/>
        <w:overflowPunct/>
        <w:topLinePunct w:val="0"/>
        <w:bidi w:val="0"/>
        <w:spacing w:after="0" w:line="276" w:lineRule="auto"/>
        <w:ind w:firstLine="560" w:firstLineChars="200"/>
        <w:textAlignment w:val="auto"/>
        <w:rPr>
          <w:rFonts w:ascii="仿宋" w:hAnsi="仿宋" w:eastAsia="仿宋" w:cs="仿宋"/>
          <w:kern w:val="2"/>
          <w:sz w:val="28"/>
          <w:szCs w:val="28"/>
        </w:rPr>
      </w:pPr>
      <w:r>
        <w:rPr>
          <w:rFonts w:hint="eastAsia" w:ascii="仿宋" w:hAnsi="仿宋" w:eastAsia="仿宋" w:cs="仿宋"/>
          <w:kern w:val="2"/>
          <w:sz w:val="28"/>
          <w:szCs w:val="28"/>
          <w:lang w:val="en-US" w:eastAsia="zh-CN"/>
        </w:rPr>
        <w:t>“GNSS观测记录”一节中，将“GNSS观测记录项目应包括”修改为“GNSS观测记录应符合GB/T 18314的相关规定，记录项目应包括”（见8.10.6.1）。</w:t>
      </w:r>
    </w:p>
    <w:p w14:paraId="7C4F8F18">
      <w:pPr>
        <w:pStyle w:val="4"/>
        <w:keepNext w:val="0"/>
        <w:keepLines w:val="0"/>
        <w:pageBreakBefore w:val="0"/>
        <w:numPr>
          <w:ilvl w:val="0"/>
          <w:numId w:val="6"/>
        </w:numPr>
        <w:kinsoku/>
        <w:wordWrap/>
        <w:overflowPunct/>
        <w:topLinePunct w:val="0"/>
        <w:bidi w:val="0"/>
        <w:spacing w:after="0" w:line="276" w:lineRule="auto"/>
        <w:ind w:firstLine="560" w:firstLineChars="200"/>
        <w:textAlignment w:val="auto"/>
        <w:rPr>
          <w:rFonts w:ascii="仿宋" w:hAnsi="仿宋" w:eastAsia="仿宋" w:cs="仿宋"/>
          <w:kern w:val="2"/>
          <w:sz w:val="28"/>
          <w:szCs w:val="28"/>
        </w:rPr>
      </w:pPr>
      <w:r>
        <w:rPr>
          <w:rFonts w:hint="eastAsia" w:ascii="仿宋" w:hAnsi="仿宋" w:eastAsia="仿宋" w:cs="仿宋"/>
          <w:kern w:val="2"/>
          <w:sz w:val="28"/>
          <w:szCs w:val="28"/>
          <w:lang w:eastAsia="zh-CN"/>
        </w:rPr>
        <w:t>“GNSS基线解算”</w:t>
      </w:r>
      <w:r>
        <w:rPr>
          <w:rFonts w:hint="eastAsia" w:ascii="仿宋" w:hAnsi="仿宋" w:eastAsia="仿宋" w:cs="仿宋"/>
          <w:kern w:val="2"/>
          <w:sz w:val="28"/>
          <w:szCs w:val="28"/>
          <w:lang w:val="en-US" w:eastAsia="zh-CN"/>
        </w:rPr>
        <w:t>一节将“a)基线解算应采用经过有关部门批准使用的软件。”修改为“a)基线解算应采用经过测试验证的软件。”（见8.10.7.1）。</w:t>
      </w:r>
    </w:p>
    <w:p w14:paraId="1C92A11B">
      <w:pPr>
        <w:pStyle w:val="4"/>
        <w:keepNext w:val="0"/>
        <w:keepLines w:val="0"/>
        <w:pageBreakBefore w:val="0"/>
        <w:numPr>
          <w:ilvl w:val="0"/>
          <w:numId w:val="6"/>
        </w:numPr>
        <w:kinsoku/>
        <w:wordWrap/>
        <w:overflowPunct/>
        <w:topLinePunct w:val="0"/>
        <w:bidi w:val="0"/>
        <w:spacing w:after="0" w:line="276" w:lineRule="auto"/>
        <w:ind w:firstLine="560" w:firstLineChars="200"/>
        <w:textAlignment w:val="auto"/>
        <w:rPr>
          <w:rFonts w:ascii="仿宋" w:hAnsi="仿宋" w:eastAsia="仿宋" w:cs="仿宋"/>
          <w:kern w:val="2"/>
          <w:sz w:val="28"/>
          <w:szCs w:val="28"/>
        </w:rPr>
      </w:pPr>
      <w:r>
        <w:rPr>
          <w:rFonts w:hint="eastAsia" w:ascii="仿宋" w:hAnsi="仿宋" w:eastAsia="仿宋" w:cs="仿宋"/>
          <w:kern w:val="2"/>
          <w:sz w:val="28"/>
          <w:szCs w:val="28"/>
          <w:lang w:val="en-US" w:eastAsia="zh-CN"/>
        </w:rPr>
        <w:t>将“外业成果的记录、整理与计算”章名修改为“成果整理与数据处理”（见9）。</w:t>
      </w:r>
    </w:p>
    <w:p w14:paraId="2F69E458">
      <w:pPr>
        <w:pStyle w:val="4"/>
        <w:keepNext w:val="0"/>
        <w:keepLines w:val="0"/>
        <w:pageBreakBefore w:val="0"/>
        <w:numPr>
          <w:ilvl w:val="0"/>
          <w:numId w:val="6"/>
        </w:numPr>
        <w:kinsoku/>
        <w:wordWrap/>
        <w:overflowPunct/>
        <w:topLinePunct w:val="0"/>
        <w:bidi w:val="0"/>
        <w:spacing w:after="0" w:line="276" w:lineRule="auto"/>
        <w:ind w:firstLine="560" w:firstLineChars="200"/>
        <w:textAlignment w:val="auto"/>
        <w:rPr>
          <w:rFonts w:ascii="仿宋" w:hAnsi="仿宋" w:eastAsia="仿宋" w:cs="仿宋"/>
          <w:kern w:val="2"/>
          <w:sz w:val="28"/>
          <w:szCs w:val="28"/>
        </w:rPr>
      </w:pPr>
      <w:r>
        <w:rPr>
          <w:rFonts w:hint="eastAsia" w:ascii="仿宋" w:hAnsi="仿宋" w:eastAsia="仿宋" w:cs="仿宋"/>
          <w:kern w:val="2"/>
          <w:sz w:val="28"/>
          <w:szCs w:val="28"/>
          <w:lang w:val="en-US" w:eastAsia="zh-CN"/>
        </w:rPr>
        <w:t>将“记录方式与要求”节名修改为“成果整理”（见9.1）。</w:t>
      </w:r>
    </w:p>
    <w:p w14:paraId="1943E867">
      <w:pPr>
        <w:pStyle w:val="4"/>
        <w:keepNext w:val="0"/>
        <w:keepLines w:val="0"/>
        <w:pageBreakBefore w:val="0"/>
        <w:numPr>
          <w:ilvl w:val="0"/>
          <w:numId w:val="6"/>
        </w:numPr>
        <w:kinsoku/>
        <w:wordWrap/>
        <w:overflowPunct/>
        <w:topLinePunct w:val="0"/>
        <w:bidi w:val="0"/>
        <w:spacing w:after="0" w:line="276" w:lineRule="auto"/>
        <w:ind w:firstLine="560" w:firstLineChars="200"/>
        <w:textAlignment w:val="auto"/>
        <w:rPr>
          <w:rFonts w:ascii="仿宋" w:hAnsi="仿宋" w:eastAsia="仿宋" w:cs="仿宋"/>
          <w:kern w:val="2"/>
          <w:sz w:val="28"/>
          <w:szCs w:val="28"/>
        </w:rPr>
      </w:pPr>
      <w:r>
        <w:rPr>
          <w:rFonts w:hint="eastAsia" w:ascii="仿宋" w:hAnsi="仿宋" w:eastAsia="仿宋" w:cs="仿宋"/>
          <w:kern w:val="2"/>
          <w:sz w:val="28"/>
          <w:szCs w:val="28"/>
          <w:lang w:val="en-US" w:eastAsia="zh-CN"/>
        </w:rPr>
        <w:t>将“9.2.3”一节调整到“9.2.1 外业计算”一节最后（见9.2.1.5）。</w:t>
      </w:r>
    </w:p>
    <w:p w14:paraId="2F92914F">
      <w:pPr>
        <w:pStyle w:val="4"/>
        <w:keepNext w:val="0"/>
        <w:keepLines w:val="0"/>
        <w:pageBreakBefore w:val="0"/>
        <w:numPr>
          <w:ilvl w:val="0"/>
          <w:numId w:val="6"/>
        </w:numPr>
        <w:kinsoku/>
        <w:wordWrap/>
        <w:overflowPunct/>
        <w:topLinePunct w:val="0"/>
        <w:bidi w:val="0"/>
        <w:spacing w:after="0" w:line="276" w:lineRule="auto"/>
        <w:ind w:firstLine="560" w:firstLineChars="200"/>
        <w:textAlignment w:val="auto"/>
        <w:rPr>
          <w:rFonts w:ascii="仿宋" w:hAnsi="仿宋" w:eastAsia="仿宋" w:cs="仿宋"/>
          <w:kern w:val="2"/>
          <w:sz w:val="28"/>
          <w:szCs w:val="28"/>
        </w:rPr>
      </w:pPr>
      <w:r>
        <w:rPr>
          <w:rFonts w:hint="eastAsia" w:ascii="仿宋" w:hAnsi="仿宋" w:eastAsia="仿宋" w:cs="仿宋"/>
          <w:kern w:val="2"/>
          <w:sz w:val="28"/>
          <w:szCs w:val="28"/>
          <w:lang w:val="en-US" w:eastAsia="zh-CN"/>
        </w:rPr>
        <w:t>将“外业成果的检查验收与上交”修改为“成果检查验收与上交资料”，并变为第10章（见第10章）。</w:t>
      </w:r>
    </w:p>
    <w:p w14:paraId="1CD57EEC">
      <w:pPr>
        <w:pStyle w:val="4"/>
        <w:keepNext w:val="0"/>
        <w:keepLines w:val="0"/>
        <w:pageBreakBefore w:val="0"/>
        <w:numPr>
          <w:ilvl w:val="0"/>
          <w:numId w:val="6"/>
        </w:numPr>
        <w:kinsoku/>
        <w:wordWrap/>
        <w:overflowPunct/>
        <w:topLinePunct w:val="0"/>
        <w:bidi w:val="0"/>
        <w:spacing w:after="0" w:line="276" w:lineRule="auto"/>
        <w:ind w:firstLine="560" w:firstLineChars="200"/>
        <w:textAlignment w:val="auto"/>
        <w:rPr>
          <w:rFonts w:ascii="仿宋" w:hAnsi="仿宋" w:eastAsia="仿宋" w:cs="仿宋"/>
          <w:kern w:val="2"/>
          <w:sz w:val="28"/>
          <w:szCs w:val="28"/>
        </w:rPr>
      </w:pPr>
      <w:r>
        <w:rPr>
          <w:rFonts w:hint="eastAsia" w:ascii="仿宋" w:hAnsi="仿宋" w:eastAsia="仿宋" w:cs="仿宋"/>
          <w:kern w:val="2"/>
          <w:sz w:val="28"/>
          <w:szCs w:val="28"/>
          <w:lang w:val="en-US" w:eastAsia="zh-CN"/>
        </w:rPr>
        <w:t>将“技术总结是在水准测量任务完成后，对技术设计书和技术标准执行情况、技术方案、作业方法、技术的应用、完成质量和主要问题的处理等进行分析和总结。它是与测绘成果有直接关系的技术性文件，是永久保存的重要技术档案。技术总结按照CH 1001编写，并由单位主要技术负责人审核签名，方可上交。”修改为“测量任务完成后，应编制技术总结，技术总结应按照CH/T 1001规定的要求编写。”（见10.1.2）。</w:t>
      </w:r>
    </w:p>
    <w:p w14:paraId="0510193B">
      <w:pPr>
        <w:pStyle w:val="4"/>
        <w:keepNext w:val="0"/>
        <w:keepLines w:val="0"/>
        <w:pageBreakBefore w:val="0"/>
        <w:numPr>
          <w:ilvl w:val="0"/>
          <w:numId w:val="6"/>
        </w:numPr>
        <w:kinsoku/>
        <w:wordWrap/>
        <w:overflowPunct/>
        <w:topLinePunct w:val="0"/>
        <w:bidi w:val="0"/>
        <w:spacing w:after="0" w:line="276" w:lineRule="auto"/>
        <w:ind w:firstLine="560" w:firstLineChars="200"/>
        <w:textAlignment w:val="auto"/>
        <w:rPr>
          <w:rFonts w:ascii="仿宋" w:hAnsi="仿宋" w:eastAsia="仿宋" w:cs="仿宋"/>
          <w:kern w:val="2"/>
          <w:sz w:val="28"/>
          <w:szCs w:val="28"/>
        </w:rPr>
      </w:pPr>
      <w:r>
        <w:rPr>
          <w:rFonts w:hint="eastAsia" w:ascii="仿宋" w:hAnsi="仿宋" w:eastAsia="仿宋" w:cs="仿宋"/>
          <w:kern w:val="2"/>
          <w:sz w:val="28"/>
          <w:szCs w:val="28"/>
          <w:lang w:val="en-US" w:eastAsia="zh-CN"/>
        </w:rPr>
        <w:t>“上交资料的范围”一节中的“水准观测手簿、磁带、磁盘、光盘等能长期保存的其它介质”修改为“水准观测手簿、磁带、磁盘、电子存储设备等能长期保存的其它介质”，增加了“i)数据处理资料；j)水准测量成果表；”（见10.2.2）。</w:t>
      </w:r>
    </w:p>
    <w:p w14:paraId="180B94F6">
      <w:pPr>
        <w:pStyle w:val="4"/>
        <w:keepNext w:val="0"/>
        <w:keepLines w:val="0"/>
        <w:pageBreakBefore w:val="0"/>
        <w:numPr>
          <w:ilvl w:val="0"/>
          <w:numId w:val="6"/>
        </w:numPr>
        <w:kinsoku/>
        <w:wordWrap/>
        <w:overflowPunct/>
        <w:topLinePunct w:val="0"/>
        <w:bidi w:val="0"/>
        <w:spacing w:after="0" w:line="276" w:lineRule="auto"/>
        <w:ind w:firstLine="560" w:firstLineChars="200"/>
        <w:textAlignment w:val="auto"/>
        <w:rPr>
          <w:rFonts w:ascii="仿宋" w:hAnsi="仿宋" w:eastAsia="仿宋" w:cs="仿宋"/>
          <w:kern w:val="2"/>
          <w:sz w:val="28"/>
          <w:szCs w:val="28"/>
        </w:rPr>
      </w:pPr>
      <w:r>
        <w:rPr>
          <w:rFonts w:hint="eastAsia" w:ascii="仿宋" w:hAnsi="仿宋" w:eastAsia="仿宋" w:cs="仿宋"/>
          <w:kern w:val="2"/>
          <w:sz w:val="28"/>
          <w:szCs w:val="28"/>
          <w:lang w:val="en-US" w:eastAsia="zh-CN"/>
        </w:rPr>
        <w:t>修改了“水准网结点接测图”（见图A.3）。</w:t>
      </w:r>
    </w:p>
    <w:p w14:paraId="23A7BE89">
      <w:pPr>
        <w:pStyle w:val="4"/>
        <w:keepNext w:val="0"/>
        <w:keepLines w:val="0"/>
        <w:pageBreakBefore w:val="0"/>
        <w:numPr>
          <w:ilvl w:val="0"/>
          <w:numId w:val="6"/>
        </w:numPr>
        <w:kinsoku/>
        <w:wordWrap/>
        <w:overflowPunct/>
        <w:topLinePunct w:val="0"/>
        <w:bidi w:val="0"/>
        <w:spacing w:after="0" w:line="276" w:lineRule="auto"/>
        <w:ind w:firstLine="560" w:firstLineChars="200"/>
        <w:textAlignment w:val="auto"/>
        <w:rPr>
          <w:rFonts w:ascii="仿宋" w:hAnsi="仿宋" w:eastAsia="仿宋" w:cs="仿宋"/>
          <w:kern w:val="2"/>
          <w:sz w:val="28"/>
          <w:szCs w:val="28"/>
        </w:rPr>
      </w:pPr>
      <w:r>
        <w:rPr>
          <w:rFonts w:hint="eastAsia" w:ascii="仿宋" w:hAnsi="仿宋" w:eastAsia="仿宋" w:cs="仿宋"/>
          <w:kern w:val="2"/>
          <w:sz w:val="28"/>
          <w:szCs w:val="28"/>
          <w:lang w:val="en-US" w:eastAsia="zh-CN"/>
        </w:rPr>
        <w:t>修改了“GNSS、水准、重力测量共用标志”（见图A.4）。</w:t>
      </w:r>
    </w:p>
    <w:p w14:paraId="38766CE5">
      <w:pPr>
        <w:pStyle w:val="4"/>
        <w:keepNext w:val="0"/>
        <w:keepLines w:val="0"/>
        <w:pageBreakBefore w:val="0"/>
        <w:numPr>
          <w:ilvl w:val="0"/>
          <w:numId w:val="6"/>
        </w:numPr>
        <w:kinsoku/>
        <w:wordWrap/>
        <w:overflowPunct/>
        <w:topLinePunct w:val="0"/>
        <w:bidi w:val="0"/>
        <w:spacing w:after="0" w:line="276" w:lineRule="auto"/>
        <w:ind w:firstLine="560" w:firstLineChars="200"/>
        <w:textAlignment w:val="auto"/>
        <w:rPr>
          <w:rFonts w:ascii="仿宋" w:hAnsi="仿宋" w:eastAsia="仿宋" w:cs="仿宋"/>
          <w:kern w:val="2"/>
          <w:sz w:val="28"/>
          <w:szCs w:val="28"/>
        </w:rPr>
      </w:pPr>
      <w:r>
        <w:rPr>
          <w:rFonts w:hint="eastAsia" w:ascii="仿宋" w:hAnsi="仿宋" w:eastAsia="仿宋" w:cs="仿宋"/>
          <w:kern w:val="2"/>
          <w:sz w:val="28"/>
          <w:szCs w:val="28"/>
          <w:lang w:val="en-US" w:eastAsia="zh-CN"/>
        </w:rPr>
        <w:t>将“水准标志”由“图A.4 b) 水准标志</w:t>
      </w:r>
      <w:r>
        <w:rPr>
          <w:rFonts w:hint="default" w:ascii="仿宋" w:hAnsi="仿宋" w:eastAsia="仿宋" w:cs="仿宋"/>
          <w:kern w:val="2"/>
          <w:sz w:val="28"/>
          <w:szCs w:val="28"/>
          <w:lang w:val="en-US" w:eastAsia="zh-CN"/>
        </w:rPr>
        <w:t>”</w:t>
      </w:r>
      <w:r>
        <w:rPr>
          <w:rFonts w:hint="eastAsia" w:ascii="仿宋" w:hAnsi="仿宋" w:eastAsia="仿宋" w:cs="仿宋"/>
          <w:kern w:val="2"/>
          <w:sz w:val="28"/>
          <w:szCs w:val="28"/>
          <w:lang w:val="en-US" w:eastAsia="zh-CN"/>
        </w:rPr>
        <w:t>修改为“图A.5 水准标志”（见图A.5）。</w:t>
      </w:r>
    </w:p>
    <w:p w14:paraId="7682639D">
      <w:pPr>
        <w:pStyle w:val="4"/>
        <w:keepNext w:val="0"/>
        <w:keepLines w:val="0"/>
        <w:pageBreakBefore w:val="0"/>
        <w:numPr>
          <w:ilvl w:val="0"/>
          <w:numId w:val="6"/>
        </w:numPr>
        <w:kinsoku/>
        <w:wordWrap/>
        <w:overflowPunct/>
        <w:topLinePunct w:val="0"/>
        <w:bidi w:val="0"/>
        <w:spacing w:after="0" w:line="276" w:lineRule="auto"/>
        <w:ind w:firstLine="560" w:firstLineChars="200"/>
        <w:textAlignment w:val="auto"/>
        <w:rPr>
          <w:rFonts w:ascii="仿宋" w:hAnsi="仿宋" w:eastAsia="仿宋" w:cs="仿宋"/>
          <w:kern w:val="2"/>
          <w:sz w:val="28"/>
          <w:szCs w:val="28"/>
        </w:rPr>
      </w:pPr>
      <w:r>
        <w:rPr>
          <w:rFonts w:hint="eastAsia" w:ascii="仿宋" w:hAnsi="仿宋" w:eastAsia="仿宋" w:cs="仿宋"/>
          <w:kern w:val="2"/>
          <w:sz w:val="28"/>
          <w:szCs w:val="28"/>
          <w:lang w:val="en-US" w:eastAsia="zh-CN"/>
        </w:rPr>
        <w:t>修改了“墙脚水准标志”（见图A.7）。</w:t>
      </w:r>
    </w:p>
    <w:p w14:paraId="4444D800">
      <w:pPr>
        <w:pStyle w:val="4"/>
        <w:keepNext w:val="0"/>
        <w:keepLines w:val="0"/>
        <w:pageBreakBefore w:val="0"/>
        <w:numPr>
          <w:ilvl w:val="0"/>
          <w:numId w:val="6"/>
        </w:numPr>
        <w:kinsoku/>
        <w:wordWrap/>
        <w:overflowPunct/>
        <w:topLinePunct w:val="0"/>
        <w:bidi w:val="0"/>
        <w:spacing w:after="0" w:line="276" w:lineRule="auto"/>
        <w:ind w:firstLine="560" w:firstLineChars="200"/>
        <w:textAlignment w:val="auto"/>
        <w:rPr>
          <w:rFonts w:ascii="仿宋" w:hAnsi="仿宋" w:eastAsia="仿宋" w:cs="仿宋"/>
          <w:kern w:val="2"/>
          <w:sz w:val="28"/>
          <w:szCs w:val="28"/>
        </w:rPr>
      </w:pPr>
      <w:r>
        <w:rPr>
          <w:rFonts w:hint="eastAsia" w:ascii="仿宋" w:hAnsi="仿宋" w:eastAsia="仿宋" w:cs="仿宋"/>
          <w:kern w:val="2"/>
          <w:sz w:val="28"/>
          <w:szCs w:val="28"/>
          <w:lang w:val="en-US" w:eastAsia="zh-CN"/>
        </w:rPr>
        <w:t>修改了“深层基岩水准标石示意图”（见图A.9）。</w:t>
      </w:r>
    </w:p>
    <w:p w14:paraId="4B98487F">
      <w:pPr>
        <w:pStyle w:val="4"/>
        <w:keepNext w:val="0"/>
        <w:keepLines w:val="0"/>
        <w:pageBreakBefore w:val="0"/>
        <w:numPr>
          <w:ilvl w:val="0"/>
          <w:numId w:val="6"/>
        </w:numPr>
        <w:kinsoku/>
        <w:wordWrap/>
        <w:overflowPunct/>
        <w:topLinePunct w:val="0"/>
        <w:bidi w:val="0"/>
        <w:spacing w:after="0" w:line="276" w:lineRule="auto"/>
        <w:ind w:firstLine="560" w:firstLineChars="200"/>
        <w:textAlignment w:val="auto"/>
        <w:rPr>
          <w:rFonts w:ascii="仿宋" w:hAnsi="仿宋" w:eastAsia="仿宋" w:cs="仿宋"/>
          <w:kern w:val="2"/>
          <w:sz w:val="28"/>
          <w:szCs w:val="28"/>
        </w:rPr>
      </w:pPr>
      <w:r>
        <w:rPr>
          <w:rFonts w:hint="eastAsia" w:ascii="仿宋" w:hAnsi="仿宋" w:eastAsia="仿宋" w:cs="仿宋"/>
          <w:kern w:val="2"/>
          <w:sz w:val="28"/>
          <w:szCs w:val="28"/>
          <w:lang w:val="en-US" w:eastAsia="zh-CN"/>
        </w:rPr>
        <w:t>修改了“图 A.25  水准点保护盘”（见图A.25）。</w:t>
      </w:r>
    </w:p>
    <w:p w14:paraId="2B22BA9E">
      <w:pPr>
        <w:pStyle w:val="4"/>
        <w:keepNext w:val="0"/>
        <w:keepLines w:val="0"/>
        <w:pageBreakBefore w:val="0"/>
        <w:numPr>
          <w:ilvl w:val="0"/>
          <w:numId w:val="6"/>
        </w:numPr>
        <w:kinsoku/>
        <w:wordWrap/>
        <w:overflowPunct/>
        <w:topLinePunct w:val="0"/>
        <w:bidi w:val="0"/>
        <w:spacing w:after="0" w:line="276" w:lineRule="auto"/>
        <w:ind w:firstLine="560" w:firstLineChars="200"/>
        <w:textAlignment w:val="auto"/>
        <w:rPr>
          <w:rFonts w:ascii="仿宋" w:hAnsi="仿宋" w:eastAsia="仿宋" w:cs="仿宋"/>
          <w:kern w:val="2"/>
          <w:sz w:val="28"/>
          <w:szCs w:val="28"/>
        </w:rPr>
      </w:pPr>
      <w:r>
        <w:rPr>
          <w:rFonts w:hint="eastAsia" w:ascii="仿宋" w:hAnsi="仿宋" w:eastAsia="仿宋" w:cs="仿宋"/>
          <w:kern w:val="2"/>
          <w:sz w:val="28"/>
          <w:szCs w:val="28"/>
          <w:lang w:val="en-US" w:eastAsia="zh-CN"/>
        </w:rPr>
        <w:t>修改了“中国冻土极值深度等值线图”及描述（见A.8）。</w:t>
      </w:r>
    </w:p>
    <w:p w14:paraId="5EB7A12E">
      <w:pPr>
        <w:pStyle w:val="4"/>
        <w:keepNext w:val="0"/>
        <w:keepLines w:val="0"/>
        <w:pageBreakBefore w:val="0"/>
        <w:numPr>
          <w:ilvl w:val="0"/>
          <w:numId w:val="6"/>
        </w:numPr>
        <w:kinsoku/>
        <w:wordWrap/>
        <w:overflowPunct/>
        <w:topLinePunct w:val="0"/>
        <w:bidi w:val="0"/>
        <w:spacing w:after="0" w:line="276" w:lineRule="auto"/>
        <w:ind w:firstLine="560" w:firstLineChars="200"/>
        <w:textAlignment w:val="auto"/>
        <w:rPr>
          <w:rFonts w:ascii="仿宋" w:hAnsi="仿宋" w:eastAsia="仿宋" w:cs="仿宋"/>
          <w:kern w:val="2"/>
          <w:sz w:val="28"/>
          <w:szCs w:val="28"/>
        </w:rPr>
      </w:pPr>
      <w:r>
        <w:rPr>
          <w:rFonts w:hint="eastAsia" w:ascii="仿宋" w:hAnsi="仿宋" w:eastAsia="仿宋" w:cs="仿宋"/>
          <w:kern w:val="2"/>
          <w:sz w:val="28"/>
          <w:szCs w:val="28"/>
          <w:lang w:val="en-US" w:eastAsia="zh-CN"/>
        </w:rPr>
        <w:t>修改了“A.9.2 委托保管书背面印制内容如下：”一节（见A.9.2）。</w:t>
      </w:r>
    </w:p>
    <w:p w14:paraId="74E4F175">
      <w:pPr>
        <w:pStyle w:val="4"/>
        <w:keepNext w:val="0"/>
        <w:keepLines w:val="0"/>
        <w:pageBreakBefore w:val="0"/>
        <w:numPr>
          <w:ilvl w:val="0"/>
          <w:numId w:val="6"/>
        </w:numPr>
        <w:kinsoku/>
        <w:wordWrap/>
        <w:overflowPunct/>
        <w:topLinePunct w:val="0"/>
        <w:bidi w:val="0"/>
        <w:spacing w:after="0" w:line="276" w:lineRule="auto"/>
        <w:ind w:firstLine="560" w:firstLineChars="200"/>
        <w:textAlignment w:val="auto"/>
        <w:rPr>
          <w:rFonts w:ascii="仿宋" w:hAnsi="仿宋" w:eastAsia="仿宋" w:cs="仿宋"/>
          <w:kern w:val="2"/>
          <w:sz w:val="28"/>
          <w:szCs w:val="28"/>
        </w:rPr>
      </w:pPr>
      <w:r>
        <w:rPr>
          <w:rFonts w:hint="eastAsia" w:ascii="仿宋" w:hAnsi="仿宋" w:eastAsia="仿宋" w:cs="仿宋"/>
          <w:kern w:val="2"/>
          <w:sz w:val="28"/>
          <w:szCs w:val="28"/>
          <w:lang w:val="en-US" w:eastAsia="zh-CN"/>
        </w:rPr>
        <w:t>修改了“跨河水准测量观测记录”一节中的“跨河水准测量手簿封面”、“跨河水准测量手簿副封面”、“灌河跨河水准连测图”、“灌河跨河水准测量平、断面示意图”（见C.2.2）。</w:t>
      </w:r>
    </w:p>
    <w:p w14:paraId="0166B6B2">
      <w:pPr>
        <w:pStyle w:val="4"/>
        <w:keepNext w:val="0"/>
        <w:keepLines w:val="0"/>
        <w:pageBreakBefore w:val="0"/>
        <w:numPr>
          <w:ilvl w:val="0"/>
          <w:numId w:val="6"/>
        </w:numPr>
        <w:kinsoku/>
        <w:wordWrap/>
        <w:overflowPunct/>
        <w:topLinePunct w:val="0"/>
        <w:bidi w:val="0"/>
        <w:spacing w:after="0" w:line="276" w:lineRule="auto"/>
        <w:ind w:firstLine="560" w:firstLineChars="200"/>
        <w:textAlignment w:val="auto"/>
        <w:rPr>
          <w:rFonts w:ascii="仿宋" w:hAnsi="仿宋" w:eastAsia="仿宋" w:cs="仿宋"/>
          <w:kern w:val="2"/>
          <w:sz w:val="28"/>
          <w:szCs w:val="28"/>
        </w:rPr>
      </w:pPr>
      <w:r>
        <w:rPr>
          <w:rFonts w:hint="eastAsia" w:ascii="仿宋" w:hAnsi="仿宋" w:eastAsia="仿宋" w:cs="仿宋"/>
          <w:kern w:val="2"/>
          <w:sz w:val="28"/>
          <w:szCs w:val="28"/>
          <w:lang w:val="en-US" w:eastAsia="zh-CN"/>
        </w:rPr>
        <w:t>修改了“一、二等水准测量外业观测手簿”中的“水准观测手簿封面”、“副封面”、“水准路线观测记录表”（见D.1）。</w:t>
      </w:r>
    </w:p>
    <w:p w14:paraId="3512FFD1">
      <w:pPr>
        <w:adjustRightInd w:val="0"/>
        <w:snapToGrid w:val="0"/>
        <w:spacing w:line="276" w:lineRule="auto"/>
        <w:ind w:firstLine="560" w:firstLineChars="200"/>
        <w:rPr>
          <w:rFonts w:hint="eastAsia" w:ascii="仿宋" w:hAnsi="仿宋" w:eastAsia="仿宋" w:cs="Times New Roman"/>
          <w:color w:val="000000"/>
          <w:sz w:val="28"/>
          <w:szCs w:val="28"/>
        </w:rPr>
      </w:pPr>
      <w:r>
        <w:rPr>
          <w:rFonts w:hint="eastAsia" w:ascii="仿宋" w:hAnsi="仿宋" w:eastAsia="仿宋" w:cs="仿宋"/>
          <w:kern w:val="2"/>
          <w:sz w:val="28"/>
          <w:szCs w:val="28"/>
          <w:lang w:val="en-US" w:eastAsia="zh-CN"/>
        </w:rPr>
        <w:t>分别将“固体潮改正”和“海潮负荷改正”中“S     ——测段长度。”修改为“S     ——测段长度，两水准点间的平面距离，由水准点坐标计算。”（见D.2.5）。</w:t>
      </w:r>
    </w:p>
    <w:p w14:paraId="5F48536E">
      <w:pPr>
        <w:pStyle w:val="3"/>
        <w:keepNext w:val="0"/>
        <w:keepLines w:val="0"/>
        <w:numPr>
          <w:ilvl w:val="0"/>
          <w:numId w:val="1"/>
        </w:numPr>
        <w:spacing w:before="120" w:after="120" w:line="240" w:lineRule="auto"/>
        <w:ind w:left="0" w:firstLine="0"/>
        <w:rPr>
          <w:rFonts w:ascii="仿宋" w:hAnsi="仿宋" w:eastAsia="仿宋" w:cs="Times New Roman"/>
          <w:b/>
          <w:color w:val="000000"/>
          <w:sz w:val="30"/>
          <w:szCs w:val="30"/>
        </w:rPr>
      </w:pPr>
      <w:r>
        <w:rPr>
          <w:rFonts w:hint="eastAsia" w:ascii="黑体" w:hAnsi="黑体" w:eastAsia="黑体" w:cs="Times New Roman"/>
          <w:b w:val="0"/>
        </w:rPr>
        <w:t>试验验证的分析、综述报告，技术经济论证，预期的经济效益、社会效益和生态效益</w:t>
      </w:r>
    </w:p>
    <w:p w14:paraId="11361A07">
      <w:pPr>
        <w:adjustRightInd w:val="0"/>
        <w:snapToGrid w:val="0"/>
        <w:spacing w:line="276" w:lineRule="auto"/>
        <w:ind w:left="840" w:leftChars="400" w:firstLine="280" w:firstLineChars="100"/>
        <w:rPr>
          <w:rFonts w:ascii="仿宋" w:hAnsi="仿宋" w:eastAsia="仿宋" w:cs="仿宋"/>
          <w:kern w:val="2"/>
          <w:sz w:val="28"/>
          <w:szCs w:val="28"/>
        </w:rPr>
      </w:pPr>
      <w:r>
        <w:rPr>
          <w:rFonts w:hint="eastAsia" w:ascii="仿宋" w:hAnsi="仿宋" w:eastAsia="仿宋" w:cs="Times New Roman"/>
          <w:color w:val="000000"/>
          <w:sz w:val="28"/>
          <w:szCs w:val="28"/>
          <w:lang w:eastAsia="zh-CN"/>
        </w:rPr>
        <w:t>无。</w:t>
      </w:r>
    </w:p>
    <w:p w14:paraId="7210D5D0">
      <w:pPr>
        <w:pStyle w:val="3"/>
        <w:keepNext w:val="0"/>
        <w:keepLines w:val="0"/>
        <w:numPr>
          <w:ilvl w:val="0"/>
          <w:numId w:val="1"/>
        </w:numPr>
        <w:spacing w:before="120" w:after="120" w:line="240" w:lineRule="auto"/>
        <w:ind w:left="0" w:firstLine="0"/>
        <w:rPr>
          <w:rFonts w:ascii="黑体" w:hAnsi="黑体" w:eastAsia="黑体" w:cs="Times New Roman"/>
          <w:b w:val="0"/>
        </w:rPr>
      </w:pPr>
      <w:r>
        <w:rPr>
          <w:rFonts w:hint="eastAsia" w:ascii="黑体" w:hAnsi="黑体" w:eastAsia="黑体" w:cs="Times New Roman"/>
          <w:b w:val="0"/>
        </w:rPr>
        <w:t>与国际、国外同类标准</w:t>
      </w:r>
      <w:bookmarkStart w:id="0" w:name="_GoBack"/>
      <w:bookmarkEnd w:id="0"/>
      <w:r>
        <w:rPr>
          <w:rFonts w:hint="eastAsia" w:ascii="黑体" w:hAnsi="黑体" w:eastAsia="黑体" w:cs="Times New Roman"/>
          <w:b w:val="0"/>
        </w:rPr>
        <w:t>技术内容的对比情况，或者与测试的国外样品、样机的有关数据对比情况</w:t>
      </w:r>
    </w:p>
    <w:p w14:paraId="442D2981">
      <w:pPr>
        <w:pStyle w:val="25"/>
        <w:numPr>
          <w:ilvl w:val="0"/>
          <w:numId w:val="8"/>
        </w:numPr>
        <w:ind w:firstLineChars="0"/>
        <w:rPr>
          <w:rFonts w:ascii="仿宋" w:hAnsi="仿宋" w:eastAsia="仿宋" w:cs="Times New Roman"/>
          <w:b/>
          <w:sz w:val="30"/>
          <w:szCs w:val="30"/>
        </w:rPr>
      </w:pPr>
      <w:r>
        <w:rPr>
          <w:rFonts w:hint="eastAsia" w:ascii="仿宋" w:hAnsi="仿宋" w:eastAsia="仿宋" w:cs="Times New Roman"/>
          <w:b/>
          <w:sz w:val="30"/>
          <w:szCs w:val="30"/>
        </w:rPr>
        <w:t>与国际、国外同类标准技术内容的对比情况</w:t>
      </w:r>
    </w:p>
    <w:p w14:paraId="5397B937">
      <w:pPr>
        <w:adjustRightInd w:val="0"/>
        <w:snapToGrid w:val="0"/>
        <w:spacing w:line="276" w:lineRule="auto"/>
        <w:ind w:left="840" w:leftChars="400" w:firstLine="280" w:firstLineChars="100"/>
        <w:rPr>
          <w:rFonts w:hint="eastAsia" w:ascii="仿宋" w:hAnsi="仿宋" w:eastAsia="仿宋" w:cs="Times New Roman"/>
          <w:color w:val="000000"/>
          <w:sz w:val="28"/>
          <w:szCs w:val="28"/>
          <w:lang w:eastAsia="zh-CN"/>
        </w:rPr>
      </w:pPr>
      <w:r>
        <w:rPr>
          <w:rFonts w:hint="eastAsia" w:ascii="仿宋" w:hAnsi="仿宋" w:eastAsia="仿宋" w:cs="Times New Roman"/>
          <w:color w:val="000000"/>
          <w:sz w:val="28"/>
          <w:szCs w:val="28"/>
          <w:lang w:eastAsia="zh-CN"/>
        </w:rPr>
        <w:t>无。</w:t>
      </w:r>
    </w:p>
    <w:p w14:paraId="7CF08A59">
      <w:pPr>
        <w:pStyle w:val="25"/>
        <w:numPr>
          <w:ilvl w:val="0"/>
          <w:numId w:val="8"/>
        </w:numPr>
        <w:ind w:firstLineChars="0"/>
        <w:rPr>
          <w:rFonts w:ascii="仿宋" w:hAnsi="仿宋" w:eastAsia="仿宋" w:cs="Times New Roman"/>
          <w:color w:val="000000"/>
          <w:sz w:val="30"/>
          <w:szCs w:val="30"/>
        </w:rPr>
      </w:pPr>
      <w:r>
        <w:rPr>
          <w:rFonts w:hint="eastAsia" w:ascii="仿宋" w:hAnsi="仿宋" w:eastAsia="仿宋" w:cs="Times New Roman"/>
          <w:b/>
          <w:sz w:val="30"/>
          <w:szCs w:val="30"/>
        </w:rPr>
        <w:t>与测试的国外样品、样机的有关数据对比情况</w:t>
      </w:r>
    </w:p>
    <w:p w14:paraId="0E8F031D">
      <w:pPr>
        <w:pStyle w:val="25"/>
        <w:adjustRightInd w:val="0"/>
        <w:snapToGrid w:val="0"/>
        <w:spacing w:line="276" w:lineRule="auto"/>
        <w:ind w:left="660" w:firstLineChars="150"/>
        <w:rPr>
          <w:rFonts w:hint="eastAsia" w:ascii="仿宋" w:hAnsi="仿宋" w:eastAsia="仿宋" w:cs="Times New Roman"/>
          <w:color w:val="000000"/>
          <w:sz w:val="28"/>
          <w:szCs w:val="28"/>
          <w:lang w:eastAsia="zh-CN"/>
        </w:rPr>
      </w:pPr>
      <w:r>
        <w:rPr>
          <w:rFonts w:hint="eastAsia" w:ascii="仿宋" w:hAnsi="仿宋" w:eastAsia="仿宋" w:cs="Times New Roman"/>
          <w:color w:val="000000"/>
          <w:sz w:val="28"/>
          <w:szCs w:val="28"/>
          <w:lang w:eastAsia="zh-CN"/>
        </w:rPr>
        <w:t>无。</w:t>
      </w:r>
    </w:p>
    <w:p w14:paraId="3128E4D9">
      <w:pPr>
        <w:pStyle w:val="3"/>
        <w:keepNext w:val="0"/>
        <w:keepLines w:val="0"/>
        <w:numPr>
          <w:ilvl w:val="0"/>
          <w:numId w:val="1"/>
        </w:numPr>
        <w:spacing w:before="120" w:after="120" w:line="240" w:lineRule="auto"/>
        <w:ind w:left="0" w:firstLine="0"/>
        <w:rPr>
          <w:rFonts w:ascii="黑体" w:hAnsi="黑体" w:eastAsia="黑体" w:cs="Times New Roman"/>
          <w:b w:val="0"/>
        </w:rPr>
      </w:pPr>
      <w:r>
        <w:rPr>
          <w:rFonts w:hint="eastAsia" w:ascii="黑体" w:hAnsi="黑体" w:eastAsia="黑体" w:cs="Times New Roman"/>
          <w:b w:val="0"/>
        </w:rPr>
        <w:t>以国际标准为基础的起草情况，以及是否合规引用或者采用国际国外标准，并说明未采用国际标准的原因</w:t>
      </w:r>
    </w:p>
    <w:p w14:paraId="4EDFFDA4">
      <w:pPr>
        <w:ind w:firstLine="980" w:firstLineChars="350"/>
        <w:rPr>
          <w:rFonts w:hint="eastAsia" w:eastAsiaTheme="minorEastAsia"/>
          <w:sz w:val="28"/>
          <w:szCs w:val="28"/>
          <w:lang w:eastAsia="zh-CN"/>
        </w:rPr>
      </w:pPr>
      <w:r>
        <w:rPr>
          <w:rFonts w:hint="eastAsia" w:ascii="仿宋" w:hAnsi="仿宋" w:eastAsia="仿宋" w:cs="Times New Roman"/>
          <w:color w:val="000000"/>
          <w:sz w:val="28"/>
          <w:szCs w:val="28"/>
          <w:lang w:eastAsia="zh-CN"/>
        </w:rPr>
        <w:t>无。</w:t>
      </w:r>
    </w:p>
    <w:p w14:paraId="2226A7AB">
      <w:pPr>
        <w:pStyle w:val="3"/>
        <w:keepNext w:val="0"/>
        <w:keepLines w:val="0"/>
        <w:numPr>
          <w:ilvl w:val="0"/>
          <w:numId w:val="1"/>
        </w:numPr>
        <w:spacing w:before="120" w:after="120" w:line="240" w:lineRule="auto"/>
        <w:ind w:left="0" w:firstLine="0"/>
        <w:rPr>
          <w:rFonts w:ascii="黑体" w:hAnsi="黑体" w:eastAsia="黑体" w:cs="宋体"/>
          <w:b w:val="0"/>
          <w:sz w:val="28"/>
          <w:szCs w:val="28"/>
        </w:rPr>
      </w:pPr>
      <w:r>
        <w:rPr>
          <w:rFonts w:hint="eastAsia" w:ascii="黑体" w:hAnsi="黑体" w:eastAsia="黑体" w:cs="Times New Roman"/>
          <w:b w:val="0"/>
        </w:rPr>
        <w:t>与有关法律、行政法规及相关标准的关系</w:t>
      </w:r>
    </w:p>
    <w:p w14:paraId="729347DE">
      <w:pPr>
        <w:adjustRightInd w:val="0"/>
        <w:snapToGrid w:val="0"/>
        <w:spacing w:line="276" w:lineRule="auto"/>
        <w:ind w:firstLine="560" w:firstLineChars="200"/>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本标准依据《中华人民共和国测绘法》、《中华人民共和国标准化法》修订，符合相关法律规定。</w:t>
      </w:r>
    </w:p>
    <w:p w14:paraId="0A3FBE69">
      <w:pPr>
        <w:adjustRightInd w:val="0"/>
        <w:snapToGrid w:val="0"/>
        <w:spacing w:line="276" w:lineRule="auto"/>
        <w:ind w:firstLine="560" w:firstLineChars="200"/>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本标准符合强制性国家标准 《国家大地测量基本技术规定》（GB 22021-2008）</w:t>
      </w:r>
      <w:r>
        <w:rPr>
          <w:rFonts w:hint="eastAsia" w:ascii="仿宋" w:hAnsi="仿宋" w:eastAsia="仿宋" w:cs="Times New Roman"/>
          <w:color w:val="000000"/>
          <w:sz w:val="28"/>
          <w:szCs w:val="28"/>
          <w:lang w:eastAsia="zh-CN"/>
        </w:rPr>
        <w:t>、</w:t>
      </w:r>
      <w:r>
        <w:rPr>
          <w:rFonts w:hint="eastAsia" w:ascii="仿宋" w:hAnsi="仿宋" w:eastAsia="仿宋" w:cs="Times New Roman"/>
          <w:color w:val="000000"/>
          <w:sz w:val="28"/>
          <w:szCs w:val="28"/>
        </w:rPr>
        <w:t>《工程测量标准》</w:t>
      </w:r>
      <w:r>
        <w:rPr>
          <w:rFonts w:hint="eastAsia" w:ascii="仿宋" w:hAnsi="仿宋" w:eastAsia="仿宋" w:cs="Times New Roman"/>
          <w:color w:val="000000"/>
          <w:sz w:val="28"/>
          <w:szCs w:val="28"/>
          <w:lang w:eastAsia="zh-CN"/>
        </w:rPr>
        <w:t>（</w:t>
      </w:r>
      <w:r>
        <w:rPr>
          <w:rFonts w:hint="eastAsia" w:ascii="仿宋" w:hAnsi="仿宋" w:eastAsia="仿宋" w:cs="Times New Roman"/>
          <w:color w:val="000000"/>
          <w:sz w:val="28"/>
          <w:szCs w:val="28"/>
        </w:rPr>
        <w:t>GB 50026-2020</w:t>
      </w:r>
      <w:r>
        <w:rPr>
          <w:rFonts w:hint="eastAsia" w:ascii="仿宋" w:hAnsi="仿宋" w:eastAsia="仿宋" w:cs="Times New Roman"/>
          <w:color w:val="000000"/>
          <w:sz w:val="28"/>
          <w:szCs w:val="28"/>
          <w:lang w:eastAsia="zh-CN"/>
        </w:rPr>
        <w:t>）</w:t>
      </w:r>
      <w:r>
        <w:rPr>
          <w:rFonts w:hint="eastAsia" w:ascii="仿宋" w:hAnsi="仿宋" w:eastAsia="仿宋" w:cs="Times New Roman"/>
          <w:color w:val="000000"/>
          <w:sz w:val="28"/>
          <w:szCs w:val="28"/>
        </w:rPr>
        <w:t>的要求。</w:t>
      </w:r>
    </w:p>
    <w:p w14:paraId="4A50F422">
      <w:pPr>
        <w:adjustRightInd w:val="0"/>
        <w:snapToGrid w:val="0"/>
        <w:spacing w:line="276" w:lineRule="auto"/>
        <w:ind w:firstLine="560" w:firstLineChars="200"/>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本标准与GB/T 18314-2024《全球导航卫星系统GNSS测量规范》相协调一致。本标准参考GNSS测量的技术内容和要求，对本标准进行了修改完善。</w:t>
      </w:r>
    </w:p>
    <w:p w14:paraId="7E69C5B9">
      <w:pPr>
        <w:adjustRightInd w:val="0"/>
        <w:snapToGrid w:val="0"/>
        <w:spacing w:line="276" w:lineRule="auto"/>
        <w:ind w:firstLine="560" w:firstLineChars="200"/>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本标准在制定过程中保持了与现有相关行业标准在基本技术指标和技术要求上的一致性。</w:t>
      </w:r>
    </w:p>
    <w:p w14:paraId="4731868C">
      <w:pPr>
        <w:adjustRightInd w:val="0"/>
        <w:snapToGrid w:val="0"/>
        <w:spacing w:line="276" w:lineRule="auto"/>
        <w:ind w:firstLine="560" w:firstLineChars="200"/>
        <w:rPr>
          <w:rFonts w:ascii="仿宋" w:hAnsi="仿宋" w:eastAsia="仿宋" w:cs="Times New Roman"/>
          <w:color w:val="000000"/>
          <w:sz w:val="28"/>
          <w:szCs w:val="28"/>
        </w:rPr>
      </w:pPr>
      <w:r>
        <w:rPr>
          <w:rFonts w:hint="eastAsia" w:ascii="仿宋" w:hAnsi="仿宋" w:eastAsia="仿宋" w:cs="Times New Roman"/>
          <w:color w:val="000000"/>
          <w:sz w:val="28"/>
          <w:szCs w:val="28"/>
        </w:rPr>
        <w:t>本标准引用国家标准</w:t>
      </w:r>
      <w:r>
        <w:rPr>
          <w:rFonts w:hint="eastAsia" w:ascii="仿宋" w:hAnsi="仿宋" w:eastAsia="仿宋" w:cs="Times New Roman"/>
          <w:color w:val="000000"/>
          <w:sz w:val="28"/>
          <w:szCs w:val="28"/>
          <w:lang w:val="en-US" w:eastAsia="zh-CN"/>
        </w:rPr>
        <w:t>6</w:t>
      </w:r>
      <w:r>
        <w:rPr>
          <w:rFonts w:hint="eastAsia" w:ascii="仿宋" w:hAnsi="仿宋" w:eastAsia="仿宋" w:cs="Times New Roman"/>
          <w:color w:val="000000"/>
          <w:sz w:val="28"/>
          <w:szCs w:val="28"/>
        </w:rPr>
        <w:t>项，行业标准</w:t>
      </w:r>
      <w:r>
        <w:rPr>
          <w:rFonts w:hint="eastAsia" w:ascii="仿宋" w:hAnsi="仿宋" w:eastAsia="仿宋" w:cs="Times New Roman"/>
          <w:color w:val="000000"/>
          <w:sz w:val="28"/>
          <w:szCs w:val="28"/>
          <w:lang w:val="en-US" w:eastAsia="zh-CN"/>
        </w:rPr>
        <w:t>5</w:t>
      </w:r>
      <w:r>
        <w:rPr>
          <w:rFonts w:hint="eastAsia" w:ascii="仿宋" w:hAnsi="仿宋" w:eastAsia="仿宋" w:cs="Times New Roman"/>
          <w:color w:val="000000"/>
          <w:sz w:val="28"/>
          <w:szCs w:val="28"/>
        </w:rPr>
        <w:t>项，计量检定规程7项</w:t>
      </w:r>
      <w:r>
        <w:rPr>
          <w:rFonts w:hint="eastAsia" w:ascii="仿宋" w:hAnsi="仿宋" w:eastAsia="仿宋" w:cs="Times New Roman"/>
          <w:color w:val="000000"/>
          <w:sz w:val="28"/>
          <w:szCs w:val="28"/>
          <w:lang w:eastAsia="zh-CN"/>
        </w:rPr>
        <w:t>，</w:t>
      </w:r>
      <w:r>
        <w:rPr>
          <w:rFonts w:hint="eastAsia" w:ascii="仿宋" w:hAnsi="仿宋" w:eastAsia="仿宋" w:cs="Times New Roman"/>
          <w:color w:val="000000"/>
          <w:sz w:val="28"/>
          <w:szCs w:val="28"/>
          <w:lang w:val="en-US" w:eastAsia="zh-CN"/>
        </w:rPr>
        <w:t>参考国家标准1项</w:t>
      </w:r>
      <w:r>
        <w:rPr>
          <w:rFonts w:hint="eastAsia" w:ascii="仿宋" w:hAnsi="仿宋" w:eastAsia="仿宋" w:cs="Times New Roman"/>
          <w:color w:val="000000"/>
          <w:sz w:val="28"/>
          <w:szCs w:val="28"/>
        </w:rPr>
        <w:t>。</w:t>
      </w:r>
    </w:p>
    <w:p w14:paraId="5BED5A8F">
      <w:pPr>
        <w:pStyle w:val="3"/>
        <w:keepNext w:val="0"/>
        <w:keepLines w:val="0"/>
        <w:numPr>
          <w:ilvl w:val="0"/>
          <w:numId w:val="1"/>
        </w:numPr>
        <w:spacing w:before="120" w:after="120" w:line="240" w:lineRule="auto"/>
        <w:ind w:left="0" w:firstLine="0"/>
        <w:rPr>
          <w:rFonts w:ascii="黑体" w:hAnsi="黑体" w:eastAsia="黑体" w:cs="宋体"/>
          <w:b w:val="0"/>
          <w:sz w:val="28"/>
          <w:szCs w:val="28"/>
        </w:rPr>
      </w:pPr>
      <w:r>
        <w:rPr>
          <w:rFonts w:hint="eastAsia" w:ascii="黑体" w:hAnsi="黑体" w:eastAsia="黑体" w:cs="Times New Roman"/>
          <w:b w:val="0"/>
        </w:rPr>
        <w:t>重大分歧意见的处理经过和依据</w:t>
      </w:r>
    </w:p>
    <w:p w14:paraId="2CEF0604">
      <w:pPr>
        <w:adjustRightInd w:val="0"/>
        <w:snapToGrid w:val="0"/>
        <w:spacing w:line="276" w:lineRule="auto"/>
        <w:ind w:firstLine="560" w:firstLineChars="200"/>
        <w:rPr>
          <w:rFonts w:hint="eastAsia" w:ascii="仿宋" w:hAnsi="仿宋" w:eastAsia="仿宋" w:cs="Times New Roman"/>
          <w:color w:val="000000"/>
          <w:sz w:val="28"/>
          <w:szCs w:val="28"/>
          <w:lang w:eastAsia="zh-CN"/>
        </w:rPr>
      </w:pPr>
      <w:r>
        <w:rPr>
          <w:rFonts w:hint="eastAsia" w:ascii="仿宋" w:hAnsi="仿宋" w:eastAsia="仿宋" w:cs="Times New Roman"/>
          <w:color w:val="000000"/>
          <w:sz w:val="28"/>
          <w:szCs w:val="28"/>
          <w:lang w:eastAsia="zh-CN"/>
        </w:rPr>
        <w:t>无。</w:t>
      </w:r>
    </w:p>
    <w:p w14:paraId="150ACA0D">
      <w:pPr>
        <w:pStyle w:val="3"/>
        <w:keepNext w:val="0"/>
        <w:keepLines w:val="0"/>
        <w:numPr>
          <w:ilvl w:val="0"/>
          <w:numId w:val="1"/>
        </w:numPr>
        <w:spacing w:before="120" w:after="120" w:line="240" w:lineRule="auto"/>
        <w:ind w:left="0" w:firstLine="0"/>
        <w:rPr>
          <w:rFonts w:ascii="黑体" w:hAnsi="黑体" w:eastAsia="黑体" w:cs="Times New Roman"/>
          <w:b w:val="0"/>
        </w:rPr>
      </w:pPr>
      <w:r>
        <w:rPr>
          <w:rFonts w:hint="eastAsia" w:ascii="黑体" w:hAnsi="黑体" w:eastAsia="黑体" w:cs="Times New Roman"/>
          <w:b w:val="0"/>
        </w:rPr>
        <w:t>涉及专利的有关说明</w:t>
      </w:r>
    </w:p>
    <w:p w14:paraId="701E7D43">
      <w:pPr>
        <w:pStyle w:val="25"/>
        <w:adjustRightInd w:val="0"/>
        <w:snapToGrid w:val="0"/>
        <w:spacing w:line="276" w:lineRule="auto"/>
        <w:rPr>
          <w:rFonts w:hint="eastAsia" w:ascii="仿宋" w:hAnsi="仿宋" w:eastAsia="仿宋" w:cs="Times New Roman"/>
          <w:color w:val="000000"/>
          <w:sz w:val="28"/>
          <w:szCs w:val="28"/>
          <w:lang w:eastAsia="zh-CN"/>
        </w:rPr>
      </w:pPr>
      <w:r>
        <w:rPr>
          <w:rFonts w:hint="eastAsia" w:ascii="仿宋" w:hAnsi="仿宋" w:eastAsia="仿宋" w:cs="Times New Roman"/>
          <w:color w:val="000000"/>
          <w:sz w:val="28"/>
          <w:szCs w:val="28"/>
          <w:lang w:eastAsia="zh-CN"/>
        </w:rPr>
        <w:t>无。</w:t>
      </w:r>
    </w:p>
    <w:p w14:paraId="325048A2">
      <w:pPr>
        <w:pStyle w:val="3"/>
        <w:keepNext w:val="0"/>
        <w:keepLines w:val="0"/>
        <w:numPr>
          <w:ilvl w:val="0"/>
          <w:numId w:val="1"/>
        </w:numPr>
        <w:spacing w:before="120" w:after="120" w:line="240" w:lineRule="auto"/>
        <w:ind w:left="0" w:firstLine="0"/>
        <w:rPr>
          <w:rFonts w:ascii="黑体" w:hAnsi="黑体" w:eastAsia="黑体" w:cs="Times New Roman"/>
          <w:b w:val="0"/>
        </w:rPr>
      </w:pPr>
      <w:r>
        <w:rPr>
          <w:rFonts w:hint="eastAsia" w:ascii="黑体" w:hAnsi="黑体" w:eastAsia="黑体" w:cs="Times New Roman"/>
          <w:b w:val="0"/>
        </w:rPr>
        <w:t>实施国家标准的要求，以及组织措施、技术措施、过渡期和实施日期的建议等措施建议</w:t>
      </w:r>
    </w:p>
    <w:p w14:paraId="5D4071BC">
      <w:pPr>
        <w:adjustRightInd w:val="0"/>
        <w:snapToGrid w:val="0"/>
        <w:spacing w:line="276" w:lineRule="auto"/>
        <w:ind w:firstLine="560" w:firstLineChars="200"/>
        <w:rPr>
          <w:rFonts w:ascii="仿宋" w:hAnsi="仿宋" w:eastAsia="仿宋" w:cs="Times New Roman"/>
          <w:sz w:val="28"/>
          <w:szCs w:val="28"/>
        </w:rPr>
      </w:pPr>
      <w:r>
        <w:rPr>
          <w:rFonts w:hint="eastAsia" w:ascii="仿宋" w:hAnsi="仿宋" w:eastAsia="仿宋" w:cs="Times New Roman"/>
          <w:sz w:val="28"/>
          <w:szCs w:val="28"/>
        </w:rPr>
        <w:t>本标准在颁布实施之后，建议开展相应的标准宣贯工作和标准培训，有利于标准使用部门和人员正确理解标准的内容。另一方面，跟踪服务对贯标中出现的技术问题，做好贯标记录，进行长期监督，并及时反馈问题至自然资源部测绘标准化研究所。</w:t>
      </w:r>
    </w:p>
    <w:p w14:paraId="72C1C44B">
      <w:pPr>
        <w:pStyle w:val="3"/>
        <w:keepNext w:val="0"/>
        <w:keepLines w:val="0"/>
        <w:numPr>
          <w:ilvl w:val="0"/>
          <w:numId w:val="1"/>
        </w:numPr>
        <w:spacing w:before="120" w:after="120" w:line="240" w:lineRule="auto"/>
        <w:ind w:left="0" w:firstLine="0"/>
        <w:rPr>
          <w:rFonts w:ascii="黑体" w:hAnsi="黑体" w:eastAsia="黑体" w:cs="宋体"/>
          <w:b w:val="0"/>
          <w:sz w:val="28"/>
          <w:szCs w:val="28"/>
        </w:rPr>
      </w:pPr>
      <w:r>
        <w:rPr>
          <w:rFonts w:hint="eastAsia" w:ascii="黑体" w:hAnsi="黑体" w:eastAsia="黑体" w:cs="Times New Roman"/>
          <w:b w:val="0"/>
        </w:rPr>
        <w:t>其他应当说明的事项</w:t>
      </w:r>
    </w:p>
    <w:p w14:paraId="07E82A21">
      <w:pPr>
        <w:pStyle w:val="25"/>
        <w:numPr>
          <w:ilvl w:val="0"/>
          <w:numId w:val="9"/>
        </w:numPr>
        <w:ind w:firstLineChars="0"/>
        <w:rPr>
          <w:rFonts w:ascii="仿宋" w:hAnsi="仿宋" w:eastAsia="仿宋" w:cs="Times New Roman"/>
          <w:color w:val="000000"/>
          <w:sz w:val="30"/>
          <w:szCs w:val="30"/>
        </w:rPr>
      </w:pPr>
      <w:r>
        <w:rPr>
          <w:rFonts w:hint="eastAsia" w:ascii="仿宋" w:hAnsi="仿宋" w:eastAsia="仿宋" w:cs="Times New Roman"/>
          <w:b/>
          <w:sz w:val="30"/>
          <w:szCs w:val="30"/>
        </w:rPr>
        <w:t>标准名称</w:t>
      </w:r>
      <w:r>
        <w:rPr>
          <w:rFonts w:ascii="仿宋" w:hAnsi="仿宋" w:eastAsia="仿宋" w:cs="Times New Roman"/>
          <w:b/>
          <w:sz w:val="30"/>
          <w:szCs w:val="30"/>
        </w:rPr>
        <w:t>修改的说明</w:t>
      </w:r>
    </w:p>
    <w:p w14:paraId="2E7EAAB9">
      <w:pPr>
        <w:adjustRightInd w:val="0"/>
        <w:snapToGrid w:val="0"/>
        <w:spacing w:line="276" w:lineRule="auto"/>
        <w:ind w:firstLine="602" w:firstLineChars="200"/>
        <w:rPr>
          <w:rFonts w:ascii="仿宋" w:hAnsi="仿宋" w:eastAsia="仿宋" w:cs="Times New Roman"/>
          <w:color w:val="000000"/>
          <w:sz w:val="30"/>
          <w:szCs w:val="30"/>
        </w:rPr>
      </w:pPr>
      <w:r>
        <w:rPr>
          <w:rFonts w:ascii="仿宋" w:hAnsi="仿宋" w:eastAsia="仿宋" w:cs="Times New Roman"/>
          <w:b/>
          <w:color w:val="000000"/>
          <w:sz w:val="30"/>
          <w:szCs w:val="30"/>
        </w:rPr>
        <w:t>（</w:t>
      </w:r>
      <w:r>
        <w:rPr>
          <w:rFonts w:hint="eastAsia" w:ascii="仿宋" w:hAnsi="仿宋" w:eastAsia="仿宋" w:cs="Times New Roman"/>
          <w:b/>
          <w:color w:val="000000"/>
          <w:sz w:val="30"/>
          <w:szCs w:val="30"/>
        </w:rPr>
        <w:t>适用时</w:t>
      </w:r>
      <w:r>
        <w:rPr>
          <w:rFonts w:ascii="仿宋" w:hAnsi="仿宋" w:eastAsia="仿宋" w:cs="Times New Roman"/>
          <w:b/>
          <w:color w:val="000000"/>
          <w:sz w:val="30"/>
          <w:szCs w:val="30"/>
        </w:rPr>
        <w:t>填写）</w:t>
      </w:r>
    </w:p>
    <w:p w14:paraId="5427A0B8">
      <w:pPr>
        <w:pStyle w:val="21"/>
        <w:spacing w:before="156" w:beforeLines="50" w:after="156" w:afterLines="50"/>
        <w:ind w:firstLine="560" w:firstLineChars="200"/>
        <w:rPr>
          <w:rFonts w:hint="eastAsia" w:ascii="仿宋" w:hAnsi="仿宋" w:eastAsia="仿宋" w:cs="Times New Roman"/>
          <w:sz w:val="28"/>
          <w:szCs w:val="28"/>
          <w:lang w:eastAsia="zh-CN"/>
        </w:rPr>
      </w:pPr>
      <w:r>
        <w:rPr>
          <w:rFonts w:hint="eastAsia" w:ascii="仿宋" w:hAnsi="仿宋" w:eastAsia="仿宋" w:cs="Times New Roman"/>
          <w:sz w:val="28"/>
          <w:szCs w:val="28"/>
          <w:lang w:eastAsia="zh-CN"/>
        </w:rPr>
        <w:t>无。</w:t>
      </w:r>
    </w:p>
    <w:p w14:paraId="2B6059A5">
      <w:pPr>
        <w:pStyle w:val="25"/>
        <w:numPr>
          <w:ilvl w:val="0"/>
          <w:numId w:val="9"/>
        </w:numPr>
        <w:ind w:firstLineChars="0"/>
        <w:rPr>
          <w:rFonts w:ascii="仿宋" w:hAnsi="仿宋" w:eastAsia="仿宋" w:cs="Times New Roman"/>
          <w:color w:val="000000"/>
          <w:sz w:val="30"/>
          <w:szCs w:val="30"/>
        </w:rPr>
      </w:pPr>
      <w:r>
        <w:rPr>
          <w:rFonts w:hint="eastAsia" w:ascii="仿宋" w:hAnsi="仿宋" w:eastAsia="仿宋" w:cs="Times New Roman"/>
          <w:b/>
          <w:sz w:val="30"/>
          <w:szCs w:val="30"/>
        </w:rPr>
        <w:t>其他</w:t>
      </w:r>
    </w:p>
    <w:p w14:paraId="01F1B6F9">
      <w:pPr>
        <w:adjustRightInd w:val="0"/>
        <w:snapToGrid w:val="0"/>
        <w:spacing w:line="276" w:lineRule="auto"/>
        <w:ind w:firstLine="560" w:firstLineChars="200"/>
        <w:rPr>
          <w:rFonts w:hint="default" w:ascii="仿宋" w:hAnsi="仿宋" w:eastAsia="仿宋" w:cs="Times New Roman"/>
          <w:sz w:val="28"/>
          <w:szCs w:val="28"/>
          <w:lang w:val="en-US" w:eastAsia="zh-CN"/>
        </w:rPr>
      </w:pPr>
      <w:r>
        <w:rPr>
          <w:rFonts w:hint="eastAsia" w:ascii="仿宋" w:hAnsi="仿宋" w:eastAsia="仿宋" w:cs="Times New Roman"/>
          <w:sz w:val="28"/>
          <w:szCs w:val="28"/>
        </w:rPr>
        <w:t>修订</w:t>
      </w:r>
      <w:r>
        <w:rPr>
          <w:rFonts w:hint="eastAsia" w:ascii="仿宋" w:hAnsi="仿宋" w:eastAsia="仿宋" w:cs="Times New Roman"/>
          <w:sz w:val="28"/>
          <w:szCs w:val="28"/>
          <w:lang w:eastAsia="zh-CN"/>
        </w:rPr>
        <w:t>《</w:t>
      </w:r>
      <w:r>
        <w:rPr>
          <w:rFonts w:hint="eastAsia" w:ascii="仿宋" w:hAnsi="仿宋" w:eastAsia="仿宋" w:cs="Times New Roman"/>
          <w:sz w:val="28"/>
          <w:szCs w:val="28"/>
        </w:rPr>
        <w:t>国家一、二等水准测量规范</w:t>
      </w:r>
      <w:r>
        <w:rPr>
          <w:rFonts w:hint="eastAsia" w:ascii="仿宋" w:hAnsi="仿宋" w:eastAsia="仿宋" w:cs="Times New Roman"/>
          <w:sz w:val="28"/>
          <w:szCs w:val="28"/>
          <w:lang w:eastAsia="zh-CN"/>
        </w:rPr>
        <w:t>》</w:t>
      </w:r>
      <w:r>
        <w:rPr>
          <w:rFonts w:hint="eastAsia" w:ascii="仿宋" w:hAnsi="仿宋" w:eastAsia="仿宋" w:cs="Times New Roman"/>
          <w:sz w:val="28"/>
          <w:szCs w:val="28"/>
        </w:rPr>
        <w:t>是适应新时代测绘技术发展、提升国家基础地理信息精准化水平的重要举措。一、二等水准测量是建立国家高程基准的唯一技术依据</w:t>
      </w:r>
      <w:r>
        <w:rPr>
          <w:rFonts w:hint="eastAsia" w:ascii="仿宋" w:hAnsi="仿宋" w:eastAsia="仿宋" w:cs="Times New Roman"/>
          <w:sz w:val="28"/>
          <w:szCs w:val="28"/>
          <w:lang w:eastAsia="zh-CN"/>
        </w:rPr>
        <w:t>，</w:t>
      </w:r>
      <w:r>
        <w:rPr>
          <w:rFonts w:hint="eastAsia" w:ascii="仿宋" w:hAnsi="仿宋" w:eastAsia="仿宋" w:cs="Times New Roman"/>
          <w:sz w:val="28"/>
          <w:szCs w:val="28"/>
          <w:lang w:val="en-US" w:eastAsia="zh-CN"/>
        </w:rPr>
        <w:t>而</w:t>
      </w:r>
      <w:r>
        <w:rPr>
          <w:rFonts w:hint="eastAsia" w:ascii="仿宋" w:hAnsi="仿宋" w:eastAsia="仿宋" w:cs="Times New Roman"/>
          <w:sz w:val="28"/>
          <w:szCs w:val="28"/>
          <w:lang w:eastAsia="zh-CN"/>
        </w:rPr>
        <w:t>高程基准</w:t>
      </w:r>
      <w:r>
        <w:rPr>
          <w:rFonts w:hint="eastAsia" w:ascii="仿宋" w:hAnsi="仿宋" w:eastAsia="仿宋" w:cs="Times New Roman"/>
          <w:sz w:val="28"/>
          <w:szCs w:val="28"/>
          <w:lang w:val="en-US" w:eastAsia="zh-CN"/>
        </w:rPr>
        <w:t>是</w:t>
      </w:r>
      <w:r>
        <w:rPr>
          <w:rFonts w:hint="eastAsia" w:ascii="仿宋" w:hAnsi="仿宋" w:eastAsia="仿宋" w:cs="Times New Roman"/>
          <w:sz w:val="28"/>
          <w:szCs w:val="28"/>
        </w:rPr>
        <w:t>城乡建设、重大工程（如高铁、水利枢纽）、地质灾害监测等</w:t>
      </w:r>
      <w:r>
        <w:rPr>
          <w:rFonts w:hint="eastAsia" w:ascii="仿宋" w:hAnsi="仿宋" w:eastAsia="仿宋" w:cs="Times New Roman"/>
          <w:sz w:val="28"/>
          <w:szCs w:val="28"/>
          <w:lang w:val="en-US" w:eastAsia="zh-CN"/>
        </w:rPr>
        <w:t>广大</w:t>
      </w:r>
      <w:r>
        <w:rPr>
          <w:rFonts w:hint="eastAsia" w:ascii="仿宋" w:hAnsi="仿宋" w:eastAsia="仿宋" w:cs="Times New Roman"/>
          <w:sz w:val="28"/>
          <w:szCs w:val="28"/>
        </w:rPr>
        <w:t>领域</w:t>
      </w:r>
      <w:r>
        <w:rPr>
          <w:rFonts w:hint="eastAsia" w:ascii="仿宋" w:hAnsi="仿宋" w:eastAsia="仿宋" w:cs="Times New Roman"/>
          <w:sz w:val="28"/>
          <w:szCs w:val="28"/>
          <w:lang w:val="en-US" w:eastAsia="zh-CN"/>
        </w:rPr>
        <w:t>的必要</w:t>
      </w:r>
      <w:r>
        <w:rPr>
          <w:rFonts w:hint="eastAsia" w:ascii="仿宋" w:hAnsi="仿宋" w:eastAsia="仿宋" w:cs="Times New Roman"/>
          <w:sz w:val="28"/>
          <w:szCs w:val="28"/>
        </w:rPr>
        <w:t>支撑</w:t>
      </w:r>
      <w:r>
        <w:rPr>
          <w:rFonts w:hint="eastAsia" w:ascii="仿宋" w:hAnsi="仿宋" w:eastAsia="仿宋" w:cs="Times New Roman"/>
          <w:sz w:val="28"/>
          <w:szCs w:val="28"/>
          <w:lang w:eastAsia="zh-CN"/>
        </w:rPr>
        <w:t>，</w:t>
      </w:r>
      <w:r>
        <w:rPr>
          <w:rFonts w:hint="eastAsia" w:ascii="仿宋" w:hAnsi="仿宋" w:eastAsia="仿宋" w:cs="Times New Roman"/>
          <w:sz w:val="28"/>
          <w:szCs w:val="28"/>
          <w:lang w:val="en-US" w:eastAsia="zh-CN"/>
        </w:rPr>
        <w:t>所以</w:t>
      </w:r>
      <w:r>
        <w:rPr>
          <w:rFonts w:hint="eastAsia" w:ascii="仿宋" w:hAnsi="仿宋" w:eastAsia="仿宋" w:cs="Times New Roman"/>
          <w:sz w:val="28"/>
          <w:szCs w:val="28"/>
          <w:lang w:eastAsia="zh-CN"/>
        </w:rPr>
        <w:t>《</w:t>
      </w:r>
      <w:r>
        <w:rPr>
          <w:rFonts w:hint="eastAsia" w:ascii="仿宋" w:hAnsi="仿宋" w:eastAsia="仿宋" w:cs="Times New Roman"/>
          <w:sz w:val="28"/>
          <w:szCs w:val="28"/>
        </w:rPr>
        <w:t>国家一、二等水准测量规范</w:t>
      </w:r>
      <w:r>
        <w:rPr>
          <w:rFonts w:hint="eastAsia" w:ascii="仿宋" w:hAnsi="仿宋" w:eastAsia="仿宋" w:cs="Times New Roman"/>
          <w:sz w:val="28"/>
          <w:szCs w:val="28"/>
          <w:lang w:eastAsia="zh-CN"/>
        </w:rPr>
        <w:t>》</w:t>
      </w:r>
      <w:r>
        <w:rPr>
          <w:rFonts w:hint="eastAsia" w:ascii="仿宋" w:hAnsi="仿宋" w:eastAsia="仿宋" w:cs="Times New Roman"/>
          <w:sz w:val="28"/>
          <w:szCs w:val="28"/>
        </w:rPr>
        <w:t>修订既是推动测绘行业高质量发展的必然要求</w:t>
      </w:r>
      <w:r>
        <w:rPr>
          <w:rFonts w:hint="eastAsia" w:ascii="仿宋" w:hAnsi="仿宋" w:eastAsia="仿宋" w:cs="Times New Roman"/>
          <w:sz w:val="28"/>
          <w:szCs w:val="28"/>
          <w:lang w:eastAsia="zh-CN"/>
        </w:rPr>
        <w:t>，</w:t>
      </w:r>
      <w:r>
        <w:rPr>
          <w:rFonts w:hint="eastAsia" w:ascii="仿宋" w:hAnsi="仿宋" w:eastAsia="仿宋" w:cs="Times New Roman"/>
          <w:sz w:val="28"/>
          <w:szCs w:val="28"/>
          <w:lang w:val="en-US" w:eastAsia="zh-CN"/>
        </w:rPr>
        <w:t>也是广大其他领域的迫切需求。</w:t>
      </w:r>
    </w:p>
    <w:p w14:paraId="482171C5">
      <w:pPr>
        <w:adjustRightInd w:val="0"/>
        <w:snapToGrid w:val="0"/>
        <w:spacing w:line="276" w:lineRule="auto"/>
        <w:ind w:firstLine="560" w:firstLineChars="200"/>
        <w:rPr>
          <w:rFonts w:hint="eastAsia" w:ascii="仿宋" w:hAnsi="仿宋" w:eastAsia="仿宋" w:cs="Times New Roman"/>
          <w:sz w:val="28"/>
          <w:szCs w:val="28"/>
        </w:rPr>
      </w:pPr>
      <w:r>
        <w:rPr>
          <w:rFonts w:hint="eastAsia" w:ascii="仿宋" w:hAnsi="仿宋" w:eastAsia="仿宋" w:cs="Times New Roman"/>
          <w:sz w:val="28"/>
          <w:szCs w:val="28"/>
          <w:lang w:val="en-US" w:eastAsia="zh-CN"/>
        </w:rPr>
        <w:t>修订该</w:t>
      </w:r>
      <w:r>
        <w:rPr>
          <w:rFonts w:hint="eastAsia" w:ascii="仿宋" w:hAnsi="仿宋" w:eastAsia="仿宋" w:cs="Times New Roman"/>
          <w:sz w:val="28"/>
          <w:szCs w:val="28"/>
        </w:rPr>
        <w:t>国家标准可以统一规范</w:t>
      </w:r>
      <w:r>
        <w:rPr>
          <w:rFonts w:hint="eastAsia" w:ascii="仿宋" w:hAnsi="仿宋" w:eastAsia="仿宋" w:cs="Times New Roman"/>
          <w:sz w:val="28"/>
          <w:szCs w:val="28"/>
          <w:lang w:val="en-US" w:eastAsia="zh-CN"/>
        </w:rPr>
        <w:t>一、</w:t>
      </w:r>
      <w:r>
        <w:rPr>
          <w:rFonts w:hint="eastAsia" w:ascii="仿宋" w:hAnsi="仿宋" w:eastAsia="仿宋" w:cs="Times New Roman"/>
          <w:sz w:val="28"/>
          <w:szCs w:val="28"/>
        </w:rPr>
        <w:t>二等水准测量基本行为，使之更好地服务于</w:t>
      </w:r>
      <w:r>
        <w:rPr>
          <w:rFonts w:hint="eastAsia" w:ascii="仿宋" w:hAnsi="仿宋" w:eastAsia="仿宋" w:cs="Times New Roman"/>
          <w:sz w:val="28"/>
          <w:szCs w:val="28"/>
          <w:lang w:val="en-US" w:eastAsia="zh-CN"/>
        </w:rPr>
        <w:t>重大工程和重大项目</w:t>
      </w:r>
      <w:r>
        <w:rPr>
          <w:rFonts w:hint="eastAsia" w:ascii="仿宋" w:hAnsi="仿宋" w:eastAsia="仿宋" w:cs="Times New Roman"/>
          <w:sz w:val="28"/>
          <w:szCs w:val="28"/>
        </w:rPr>
        <w:t>的测量工作。本标准颁布实施将产生良好的社会效益和经济效益，同时将提升</w:t>
      </w:r>
      <w:r>
        <w:rPr>
          <w:rFonts w:hint="eastAsia" w:ascii="仿宋" w:hAnsi="仿宋" w:eastAsia="仿宋" w:cs="Times New Roman"/>
          <w:sz w:val="28"/>
          <w:szCs w:val="28"/>
          <w:lang w:val="en-US" w:eastAsia="zh-CN"/>
        </w:rPr>
        <w:t>一、</w:t>
      </w:r>
      <w:r>
        <w:rPr>
          <w:rFonts w:hint="eastAsia" w:ascii="仿宋" w:hAnsi="仿宋" w:eastAsia="仿宋" w:cs="Times New Roman"/>
          <w:sz w:val="28"/>
          <w:szCs w:val="28"/>
        </w:rPr>
        <w:t>二等水准测量的保障服务能力，进而为国家重大基础设施和科学设施建设与管理做出积极的贡献。</w:t>
      </w:r>
    </w:p>
    <w:p w14:paraId="41CAB16E">
      <w:pPr>
        <w:pStyle w:val="21"/>
        <w:snapToGrid w:val="0"/>
        <w:spacing w:line="276" w:lineRule="auto"/>
        <w:jc w:val="both"/>
        <w:rPr>
          <w:rFonts w:ascii="仿宋" w:hAnsi="仿宋" w:eastAsia="仿宋"/>
          <w:color w:val="auto"/>
          <w:sz w:val="30"/>
          <w:szCs w:val="30"/>
        </w:rPr>
      </w:pPr>
    </w:p>
    <w:sectPr>
      <w:footerReference r:id="rId3" w:type="default"/>
      <w:pgSz w:w="11906" w:h="16838"/>
      <w:pgMar w:top="1134" w:right="1134" w:bottom="1134" w:left="1134" w:header="851" w:footer="992"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06950275"/>
    </w:sdtPr>
    <w:sdtContent>
      <w:p w14:paraId="2B135F8C">
        <w:pPr>
          <w:pStyle w:val="6"/>
          <w:jc w:val="center"/>
        </w:pPr>
        <w:r>
          <w:fldChar w:fldCharType="begin"/>
        </w:r>
        <w:r>
          <w:instrText xml:space="preserve">PAGE   \* MERGEFORMAT</w:instrText>
        </w:r>
        <w:r>
          <w:fldChar w:fldCharType="separate"/>
        </w:r>
        <w:r>
          <w:rPr>
            <w:lang w:val="zh-CN"/>
          </w:rPr>
          <w:t>1</w:t>
        </w:r>
        <w:r>
          <w:fldChar w:fldCharType="end"/>
        </w:r>
      </w:p>
    </w:sdtContent>
  </w:sdt>
  <w:p w14:paraId="66AE63CD">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0AD75C"/>
    <w:multiLevelType w:val="singleLevel"/>
    <w:tmpl w:val="840AD75C"/>
    <w:lvl w:ilvl="0" w:tentative="0">
      <w:start w:val="1"/>
      <w:numFmt w:val="lowerLetter"/>
      <w:suff w:val="space"/>
      <w:lvlText w:val="%1)"/>
      <w:lvlJc w:val="left"/>
    </w:lvl>
  </w:abstractNum>
  <w:abstractNum w:abstractNumId="1">
    <w:nsid w:val="B6294B0D"/>
    <w:multiLevelType w:val="singleLevel"/>
    <w:tmpl w:val="B6294B0D"/>
    <w:lvl w:ilvl="0" w:tentative="0">
      <w:start w:val="1"/>
      <w:numFmt w:val="lowerLetter"/>
      <w:suff w:val="space"/>
      <w:lvlText w:val="%1)"/>
      <w:lvlJc w:val="left"/>
    </w:lvl>
  </w:abstractNum>
  <w:abstractNum w:abstractNumId="2">
    <w:nsid w:val="0D802AC0"/>
    <w:multiLevelType w:val="multilevel"/>
    <w:tmpl w:val="0D802AC0"/>
    <w:lvl w:ilvl="0" w:tentative="0">
      <w:start w:val="1"/>
      <w:numFmt w:val="japaneseCounting"/>
      <w:lvlText w:val="%1、"/>
      <w:lvlJc w:val="left"/>
      <w:pPr>
        <w:ind w:left="660" w:hanging="660"/>
      </w:pPr>
      <w:rPr>
        <w:rFonts w:hint="default" w:ascii="仿宋" w:hAnsi="仿宋" w:eastAsia="仿宋"/>
        <w:b/>
        <w:sz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101A6421"/>
    <w:multiLevelType w:val="multilevel"/>
    <w:tmpl w:val="101A6421"/>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4">
    <w:nsid w:val="16D352A8"/>
    <w:multiLevelType w:val="multilevel"/>
    <w:tmpl w:val="16D352A8"/>
    <w:lvl w:ilvl="0" w:tentative="0">
      <w:start w:val="1"/>
      <w:numFmt w:val="decimal"/>
      <w:lvlText w:val="%1．"/>
      <w:lvlJc w:val="left"/>
      <w:pPr>
        <w:ind w:left="1140" w:hanging="720"/>
      </w:pPr>
      <w:rPr>
        <w:rFonts w:hint="default"/>
        <w:b/>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5">
    <w:nsid w:val="1A5F772B"/>
    <w:multiLevelType w:val="multilevel"/>
    <w:tmpl w:val="1A5F772B"/>
    <w:lvl w:ilvl="0" w:tentative="0">
      <w:start w:val="1"/>
      <w:numFmt w:val="decimal"/>
      <w:lvlText w:val="%1．"/>
      <w:lvlJc w:val="left"/>
      <w:pPr>
        <w:ind w:left="1140" w:hanging="720"/>
      </w:pPr>
      <w:rPr>
        <w:rFonts w:hint="default"/>
        <w:b/>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6">
    <w:nsid w:val="226A7899"/>
    <w:multiLevelType w:val="multilevel"/>
    <w:tmpl w:val="226A7899"/>
    <w:lvl w:ilvl="0" w:tentative="0">
      <w:start w:val="1"/>
      <w:numFmt w:val="decimal"/>
      <w:lvlText w:val="%1．"/>
      <w:lvlJc w:val="left"/>
      <w:pPr>
        <w:ind w:left="1140" w:hanging="72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7">
    <w:nsid w:val="3BB19E32"/>
    <w:multiLevelType w:val="singleLevel"/>
    <w:tmpl w:val="3BB19E32"/>
    <w:lvl w:ilvl="0" w:tentative="0">
      <w:start w:val="2"/>
      <w:numFmt w:val="decimal"/>
      <w:suff w:val="nothing"/>
      <w:lvlText w:val="%1）"/>
      <w:lvlJc w:val="left"/>
    </w:lvl>
  </w:abstractNum>
  <w:abstractNum w:abstractNumId="8">
    <w:nsid w:val="6AD2C65C"/>
    <w:multiLevelType w:val="singleLevel"/>
    <w:tmpl w:val="6AD2C65C"/>
    <w:lvl w:ilvl="0" w:tentative="0">
      <w:start w:val="1"/>
      <w:numFmt w:val="lowerLetter"/>
      <w:suff w:val="space"/>
      <w:lvlText w:val="%1)"/>
      <w:lvlJc w:val="left"/>
    </w:lvl>
  </w:abstractNum>
  <w:num w:numId="1">
    <w:abstractNumId w:val="2"/>
  </w:num>
  <w:num w:numId="2">
    <w:abstractNumId w:val="3"/>
  </w:num>
  <w:num w:numId="3">
    <w:abstractNumId w:val="7"/>
  </w:num>
  <w:num w:numId="4">
    <w:abstractNumId w:val="6"/>
  </w:num>
  <w:num w:numId="5">
    <w:abstractNumId w:val="8"/>
  </w:num>
  <w:num w:numId="6">
    <w:abstractNumId w:val="1"/>
  </w:num>
  <w:num w:numId="7">
    <w:abstractNumId w:val="0"/>
  </w:num>
  <w:num w:numId="8">
    <w:abstractNumId w:val="4"/>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Q5MDVlZWYzZTU3YWM1MWM3NTg2MDQwYzJjOGUzZTAifQ=="/>
  </w:docVars>
  <w:rsids>
    <w:rsidRoot w:val="000872C5"/>
    <w:rsid w:val="00005B7E"/>
    <w:rsid w:val="00024626"/>
    <w:rsid w:val="00030236"/>
    <w:rsid w:val="00031A59"/>
    <w:rsid w:val="00035E12"/>
    <w:rsid w:val="000479EC"/>
    <w:rsid w:val="00053B3C"/>
    <w:rsid w:val="00073297"/>
    <w:rsid w:val="0008539F"/>
    <w:rsid w:val="000872C5"/>
    <w:rsid w:val="000901E9"/>
    <w:rsid w:val="000B0CB9"/>
    <w:rsid w:val="000B4954"/>
    <w:rsid w:val="000B514C"/>
    <w:rsid w:val="000B5F4A"/>
    <w:rsid w:val="000C01D5"/>
    <w:rsid w:val="000D65A8"/>
    <w:rsid w:val="000E3651"/>
    <w:rsid w:val="000F30CD"/>
    <w:rsid w:val="000F7964"/>
    <w:rsid w:val="00101069"/>
    <w:rsid w:val="00104611"/>
    <w:rsid w:val="00106609"/>
    <w:rsid w:val="00112522"/>
    <w:rsid w:val="00112A0B"/>
    <w:rsid w:val="001261A1"/>
    <w:rsid w:val="0013072C"/>
    <w:rsid w:val="00150E75"/>
    <w:rsid w:val="00155272"/>
    <w:rsid w:val="001573EA"/>
    <w:rsid w:val="0016211E"/>
    <w:rsid w:val="00164206"/>
    <w:rsid w:val="001644FD"/>
    <w:rsid w:val="00186DA4"/>
    <w:rsid w:val="001873C1"/>
    <w:rsid w:val="00195652"/>
    <w:rsid w:val="001A1DA0"/>
    <w:rsid w:val="001A2D8A"/>
    <w:rsid w:val="001B5397"/>
    <w:rsid w:val="001C16B2"/>
    <w:rsid w:val="001C6CAC"/>
    <w:rsid w:val="001F2465"/>
    <w:rsid w:val="001F79EE"/>
    <w:rsid w:val="002301B2"/>
    <w:rsid w:val="00231CA5"/>
    <w:rsid w:val="002358F3"/>
    <w:rsid w:val="00237A0B"/>
    <w:rsid w:val="00240139"/>
    <w:rsid w:val="00271FB4"/>
    <w:rsid w:val="002819B9"/>
    <w:rsid w:val="00297B03"/>
    <w:rsid w:val="002A7BD8"/>
    <w:rsid w:val="002B0470"/>
    <w:rsid w:val="002B1DBB"/>
    <w:rsid w:val="002B1EC8"/>
    <w:rsid w:val="002C4BE3"/>
    <w:rsid w:val="002E217C"/>
    <w:rsid w:val="002E3081"/>
    <w:rsid w:val="002E4435"/>
    <w:rsid w:val="002E6CFC"/>
    <w:rsid w:val="002F14EB"/>
    <w:rsid w:val="00302360"/>
    <w:rsid w:val="003054DA"/>
    <w:rsid w:val="003174F3"/>
    <w:rsid w:val="00317C75"/>
    <w:rsid w:val="00321590"/>
    <w:rsid w:val="00324AB4"/>
    <w:rsid w:val="00335DFE"/>
    <w:rsid w:val="00340707"/>
    <w:rsid w:val="00340B79"/>
    <w:rsid w:val="0034666F"/>
    <w:rsid w:val="00354321"/>
    <w:rsid w:val="00357C96"/>
    <w:rsid w:val="00366BB5"/>
    <w:rsid w:val="00376E02"/>
    <w:rsid w:val="00381E11"/>
    <w:rsid w:val="0038334F"/>
    <w:rsid w:val="00392D7D"/>
    <w:rsid w:val="003945FC"/>
    <w:rsid w:val="003A01F7"/>
    <w:rsid w:val="003A105C"/>
    <w:rsid w:val="003B1110"/>
    <w:rsid w:val="003B7AB3"/>
    <w:rsid w:val="003D1ED5"/>
    <w:rsid w:val="003D4CCB"/>
    <w:rsid w:val="003D5C89"/>
    <w:rsid w:val="003D79E6"/>
    <w:rsid w:val="003D7D84"/>
    <w:rsid w:val="003E038C"/>
    <w:rsid w:val="003E468F"/>
    <w:rsid w:val="003F293B"/>
    <w:rsid w:val="003F6F19"/>
    <w:rsid w:val="004075B5"/>
    <w:rsid w:val="0043042B"/>
    <w:rsid w:val="00435715"/>
    <w:rsid w:val="004465D1"/>
    <w:rsid w:val="00447AA7"/>
    <w:rsid w:val="00461EDA"/>
    <w:rsid w:val="00467402"/>
    <w:rsid w:val="00474EFE"/>
    <w:rsid w:val="00476495"/>
    <w:rsid w:val="004764D0"/>
    <w:rsid w:val="00484101"/>
    <w:rsid w:val="0049750B"/>
    <w:rsid w:val="004A1B80"/>
    <w:rsid w:val="004A7986"/>
    <w:rsid w:val="004C4B76"/>
    <w:rsid w:val="004D5D7D"/>
    <w:rsid w:val="004E1ACD"/>
    <w:rsid w:val="004F7631"/>
    <w:rsid w:val="004F77F3"/>
    <w:rsid w:val="00501592"/>
    <w:rsid w:val="00503454"/>
    <w:rsid w:val="0050365A"/>
    <w:rsid w:val="00505E31"/>
    <w:rsid w:val="0051633C"/>
    <w:rsid w:val="00516ED7"/>
    <w:rsid w:val="005209A9"/>
    <w:rsid w:val="00524B58"/>
    <w:rsid w:val="00543E01"/>
    <w:rsid w:val="00544E6D"/>
    <w:rsid w:val="00551CFF"/>
    <w:rsid w:val="00554379"/>
    <w:rsid w:val="005569D8"/>
    <w:rsid w:val="00560AB1"/>
    <w:rsid w:val="00580EA9"/>
    <w:rsid w:val="00582AA1"/>
    <w:rsid w:val="005849BF"/>
    <w:rsid w:val="00593E87"/>
    <w:rsid w:val="005950AD"/>
    <w:rsid w:val="005B06ED"/>
    <w:rsid w:val="005B67A4"/>
    <w:rsid w:val="005C650A"/>
    <w:rsid w:val="005E2A4A"/>
    <w:rsid w:val="005F0723"/>
    <w:rsid w:val="005F2DD3"/>
    <w:rsid w:val="005F7E35"/>
    <w:rsid w:val="00603489"/>
    <w:rsid w:val="0062453F"/>
    <w:rsid w:val="00624E25"/>
    <w:rsid w:val="00630F85"/>
    <w:rsid w:val="00636A77"/>
    <w:rsid w:val="00651172"/>
    <w:rsid w:val="00655FB6"/>
    <w:rsid w:val="00672FA2"/>
    <w:rsid w:val="00674691"/>
    <w:rsid w:val="00683E2E"/>
    <w:rsid w:val="00684D18"/>
    <w:rsid w:val="006902AE"/>
    <w:rsid w:val="006B28CD"/>
    <w:rsid w:val="006C3C5F"/>
    <w:rsid w:val="006E5F22"/>
    <w:rsid w:val="006E6210"/>
    <w:rsid w:val="00707261"/>
    <w:rsid w:val="00707419"/>
    <w:rsid w:val="00712310"/>
    <w:rsid w:val="00715267"/>
    <w:rsid w:val="007304FD"/>
    <w:rsid w:val="00732A12"/>
    <w:rsid w:val="00732C88"/>
    <w:rsid w:val="007405A9"/>
    <w:rsid w:val="0075676C"/>
    <w:rsid w:val="0078354A"/>
    <w:rsid w:val="007839B4"/>
    <w:rsid w:val="007904AE"/>
    <w:rsid w:val="007A3E7C"/>
    <w:rsid w:val="007A4382"/>
    <w:rsid w:val="007A5FF1"/>
    <w:rsid w:val="007A681F"/>
    <w:rsid w:val="007B58B6"/>
    <w:rsid w:val="007C12E4"/>
    <w:rsid w:val="007C2083"/>
    <w:rsid w:val="007F5359"/>
    <w:rsid w:val="00802884"/>
    <w:rsid w:val="008239BB"/>
    <w:rsid w:val="00823B21"/>
    <w:rsid w:val="008248CA"/>
    <w:rsid w:val="00833771"/>
    <w:rsid w:val="008337FF"/>
    <w:rsid w:val="0084798A"/>
    <w:rsid w:val="00850234"/>
    <w:rsid w:val="0085067F"/>
    <w:rsid w:val="00853AFF"/>
    <w:rsid w:val="008551EA"/>
    <w:rsid w:val="008568D9"/>
    <w:rsid w:val="00866055"/>
    <w:rsid w:val="00876F5F"/>
    <w:rsid w:val="00877DD4"/>
    <w:rsid w:val="008819EA"/>
    <w:rsid w:val="008A1978"/>
    <w:rsid w:val="008B0E1C"/>
    <w:rsid w:val="008D2BE6"/>
    <w:rsid w:val="008D436A"/>
    <w:rsid w:val="008D4638"/>
    <w:rsid w:val="008D4EBF"/>
    <w:rsid w:val="008D649F"/>
    <w:rsid w:val="008D7075"/>
    <w:rsid w:val="008D709F"/>
    <w:rsid w:val="008E0B9C"/>
    <w:rsid w:val="008F4B8B"/>
    <w:rsid w:val="00913031"/>
    <w:rsid w:val="00914998"/>
    <w:rsid w:val="009175AF"/>
    <w:rsid w:val="00921606"/>
    <w:rsid w:val="00925269"/>
    <w:rsid w:val="00932055"/>
    <w:rsid w:val="00936AFD"/>
    <w:rsid w:val="00937F79"/>
    <w:rsid w:val="0094077E"/>
    <w:rsid w:val="00946B18"/>
    <w:rsid w:val="00956EE6"/>
    <w:rsid w:val="009617F2"/>
    <w:rsid w:val="009724F1"/>
    <w:rsid w:val="009738E2"/>
    <w:rsid w:val="00982249"/>
    <w:rsid w:val="00983434"/>
    <w:rsid w:val="00986ACF"/>
    <w:rsid w:val="009A52F9"/>
    <w:rsid w:val="009B09EA"/>
    <w:rsid w:val="009B51EF"/>
    <w:rsid w:val="009E0D39"/>
    <w:rsid w:val="009E5FCF"/>
    <w:rsid w:val="009E73F6"/>
    <w:rsid w:val="009F16B2"/>
    <w:rsid w:val="009F543A"/>
    <w:rsid w:val="00A0605D"/>
    <w:rsid w:val="00A3203F"/>
    <w:rsid w:val="00A37750"/>
    <w:rsid w:val="00A41808"/>
    <w:rsid w:val="00A46E53"/>
    <w:rsid w:val="00A4737B"/>
    <w:rsid w:val="00A51F6B"/>
    <w:rsid w:val="00A54E9D"/>
    <w:rsid w:val="00A560A8"/>
    <w:rsid w:val="00A56F1A"/>
    <w:rsid w:val="00A66DEB"/>
    <w:rsid w:val="00A9155E"/>
    <w:rsid w:val="00A92770"/>
    <w:rsid w:val="00AA1610"/>
    <w:rsid w:val="00AA26B9"/>
    <w:rsid w:val="00AA3DD2"/>
    <w:rsid w:val="00AA78FE"/>
    <w:rsid w:val="00AB10F2"/>
    <w:rsid w:val="00AB4365"/>
    <w:rsid w:val="00AC07C8"/>
    <w:rsid w:val="00AC755A"/>
    <w:rsid w:val="00AD1D59"/>
    <w:rsid w:val="00AD1F70"/>
    <w:rsid w:val="00AD5E3C"/>
    <w:rsid w:val="00AE0920"/>
    <w:rsid w:val="00AE42F3"/>
    <w:rsid w:val="00AF7C1D"/>
    <w:rsid w:val="00B03966"/>
    <w:rsid w:val="00B04AD8"/>
    <w:rsid w:val="00B1394A"/>
    <w:rsid w:val="00B17D98"/>
    <w:rsid w:val="00B23723"/>
    <w:rsid w:val="00B3502F"/>
    <w:rsid w:val="00B41703"/>
    <w:rsid w:val="00B43C57"/>
    <w:rsid w:val="00B539C7"/>
    <w:rsid w:val="00B761C5"/>
    <w:rsid w:val="00B76A46"/>
    <w:rsid w:val="00B76E09"/>
    <w:rsid w:val="00B77E6D"/>
    <w:rsid w:val="00B80C6D"/>
    <w:rsid w:val="00B8386C"/>
    <w:rsid w:val="00B86B7E"/>
    <w:rsid w:val="00B901D6"/>
    <w:rsid w:val="00B90671"/>
    <w:rsid w:val="00BA421B"/>
    <w:rsid w:val="00BA64FA"/>
    <w:rsid w:val="00BA7AE7"/>
    <w:rsid w:val="00BB3124"/>
    <w:rsid w:val="00BB4762"/>
    <w:rsid w:val="00BC4D2A"/>
    <w:rsid w:val="00BD5D38"/>
    <w:rsid w:val="00BD63D8"/>
    <w:rsid w:val="00BE27E8"/>
    <w:rsid w:val="00BE6B31"/>
    <w:rsid w:val="00BF7108"/>
    <w:rsid w:val="00C07AF7"/>
    <w:rsid w:val="00C07C11"/>
    <w:rsid w:val="00C129C4"/>
    <w:rsid w:val="00C12D94"/>
    <w:rsid w:val="00C30D79"/>
    <w:rsid w:val="00C33D6C"/>
    <w:rsid w:val="00C34CBD"/>
    <w:rsid w:val="00C35751"/>
    <w:rsid w:val="00C36B78"/>
    <w:rsid w:val="00C3763F"/>
    <w:rsid w:val="00C4154F"/>
    <w:rsid w:val="00C46F3A"/>
    <w:rsid w:val="00C541CA"/>
    <w:rsid w:val="00C7633F"/>
    <w:rsid w:val="00C85103"/>
    <w:rsid w:val="00C878C8"/>
    <w:rsid w:val="00C9440A"/>
    <w:rsid w:val="00CA043F"/>
    <w:rsid w:val="00CA05FC"/>
    <w:rsid w:val="00CC062E"/>
    <w:rsid w:val="00CC5C4F"/>
    <w:rsid w:val="00CD2D9B"/>
    <w:rsid w:val="00CD4059"/>
    <w:rsid w:val="00CE323A"/>
    <w:rsid w:val="00CE3D78"/>
    <w:rsid w:val="00CE744F"/>
    <w:rsid w:val="00CF0995"/>
    <w:rsid w:val="00CF37E6"/>
    <w:rsid w:val="00D016B3"/>
    <w:rsid w:val="00D01FBE"/>
    <w:rsid w:val="00D06D0D"/>
    <w:rsid w:val="00D23B20"/>
    <w:rsid w:val="00D259CF"/>
    <w:rsid w:val="00D352B7"/>
    <w:rsid w:val="00D454AD"/>
    <w:rsid w:val="00D5327B"/>
    <w:rsid w:val="00D57473"/>
    <w:rsid w:val="00D72A82"/>
    <w:rsid w:val="00D75A14"/>
    <w:rsid w:val="00D84544"/>
    <w:rsid w:val="00D84C58"/>
    <w:rsid w:val="00D85BAB"/>
    <w:rsid w:val="00D9650C"/>
    <w:rsid w:val="00DB2C77"/>
    <w:rsid w:val="00DB6863"/>
    <w:rsid w:val="00DB68A0"/>
    <w:rsid w:val="00DB74B8"/>
    <w:rsid w:val="00DC3D26"/>
    <w:rsid w:val="00E060FC"/>
    <w:rsid w:val="00E27E6A"/>
    <w:rsid w:val="00E35F4A"/>
    <w:rsid w:val="00E53EDA"/>
    <w:rsid w:val="00E67F6A"/>
    <w:rsid w:val="00E7133C"/>
    <w:rsid w:val="00E837E1"/>
    <w:rsid w:val="00E978D6"/>
    <w:rsid w:val="00EB36CD"/>
    <w:rsid w:val="00EB5209"/>
    <w:rsid w:val="00EB6501"/>
    <w:rsid w:val="00EB7170"/>
    <w:rsid w:val="00EC19B4"/>
    <w:rsid w:val="00ED1E5A"/>
    <w:rsid w:val="00ED4BA5"/>
    <w:rsid w:val="00ED679E"/>
    <w:rsid w:val="00EE0EAF"/>
    <w:rsid w:val="00F01712"/>
    <w:rsid w:val="00F05F86"/>
    <w:rsid w:val="00F17DDC"/>
    <w:rsid w:val="00F26419"/>
    <w:rsid w:val="00F325D4"/>
    <w:rsid w:val="00F34765"/>
    <w:rsid w:val="00F367CC"/>
    <w:rsid w:val="00F3696C"/>
    <w:rsid w:val="00F40110"/>
    <w:rsid w:val="00F509BF"/>
    <w:rsid w:val="00F528A8"/>
    <w:rsid w:val="00F8145E"/>
    <w:rsid w:val="00F823BD"/>
    <w:rsid w:val="00FA7702"/>
    <w:rsid w:val="00FB27A4"/>
    <w:rsid w:val="00FB4FA8"/>
    <w:rsid w:val="00FB5547"/>
    <w:rsid w:val="00FB5BE6"/>
    <w:rsid w:val="00FC1C11"/>
    <w:rsid w:val="00FE568A"/>
    <w:rsid w:val="00FF09B1"/>
    <w:rsid w:val="00FF4B4D"/>
    <w:rsid w:val="00FF53F4"/>
    <w:rsid w:val="045F4E7F"/>
    <w:rsid w:val="04D2690E"/>
    <w:rsid w:val="05727BD4"/>
    <w:rsid w:val="0ED5466F"/>
    <w:rsid w:val="10255EEB"/>
    <w:rsid w:val="10B9697B"/>
    <w:rsid w:val="13DD14C0"/>
    <w:rsid w:val="14B4574D"/>
    <w:rsid w:val="14DA5F9C"/>
    <w:rsid w:val="156B7494"/>
    <w:rsid w:val="1693761B"/>
    <w:rsid w:val="17355902"/>
    <w:rsid w:val="1BE23919"/>
    <w:rsid w:val="1C6E0BC2"/>
    <w:rsid w:val="1CBF05A0"/>
    <w:rsid w:val="1DA44FB2"/>
    <w:rsid w:val="1DC046F7"/>
    <w:rsid w:val="1FB3447B"/>
    <w:rsid w:val="1FCA1A96"/>
    <w:rsid w:val="22484190"/>
    <w:rsid w:val="22585DF7"/>
    <w:rsid w:val="252504F9"/>
    <w:rsid w:val="29C01EAD"/>
    <w:rsid w:val="2A225850"/>
    <w:rsid w:val="2A5672E2"/>
    <w:rsid w:val="2C751ACA"/>
    <w:rsid w:val="2DAD4CC7"/>
    <w:rsid w:val="2E453708"/>
    <w:rsid w:val="333B1608"/>
    <w:rsid w:val="36DA7B1E"/>
    <w:rsid w:val="3763389D"/>
    <w:rsid w:val="39AB0204"/>
    <w:rsid w:val="3D590128"/>
    <w:rsid w:val="3F8E16F2"/>
    <w:rsid w:val="3FEB1F7E"/>
    <w:rsid w:val="40D23DF4"/>
    <w:rsid w:val="41F608AB"/>
    <w:rsid w:val="42B62D84"/>
    <w:rsid w:val="43506E6B"/>
    <w:rsid w:val="459E397E"/>
    <w:rsid w:val="4636166B"/>
    <w:rsid w:val="466C2D7C"/>
    <w:rsid w:val="48196964"/>
    <w:rsid w:val="497C7620"/>
    <w:rsid w:val="4A316913"/>
    <w:rsid w:val="4C445933"/>
    <w:rsid w:val="4D257B4B"/>
    <w:rsid w:val="4E6A773E"/>
    <w:rsid w:val="4F9D51ED"/>
    <w:rsid w:val="505B2560"/>
    <w:rsid w:val="5078434A"/>
    <w:rsid w:val="53053093"/>
    <w:rsid w:val="535560F0"/>
    <w:rsid w:val="535F7CEC"/>
    <w:rsid w:val="539761B1"/>
    <w:rsid w:val="542E769E"/>
    <w:rsid w:val="55AF5399"/>
    <w:rsid w:val="57316383"/>
    <w:rsid w:val="57F003CC"/>
    <w:rsid w:val="5810154B"/>
    <w:rsid w:val="5A021C5B"/>
    <w:rsid w:val="5A870B3A"/>
    <w:rsid w:val="5B7315EC"/>
    <w:rsid w:val="5BDD58B7"/>
    <w:rsid w:val="5C8A0352"/>
    <w:rsid w:val="5EEE34B9"/>
    <w:rsid w:val="679C2544"/>
    <w:rsid w:val="68803683"/>
    <w:rsid w:val="69415B2D"/>
    <w:rsid w:val="6B752F3A"/>
    <w:rsid w:val="6DD07CF7"/>
    <w:rsid w:val="6EFD6968"/>
    <w:rsid w:val="6FB078FF"/>
    <w:rsid w:val="70670525"/>
    <w:rsid w:val="70D50D41"/>
    <w:rsid w:val="78AF42C1"/>
    <w:rsid w:val="7A0952DF"/>
    <w:rsid w:val="7CD14D92"/>
    <w:rsid w:val="7D114027"/>
    <w:rsid w:val="7DCB394B"/>
    <w:rsid w:val="7E7629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6"/>
    <w:autoRedefine/>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8"/>
    <w:autoRedefine/>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1">
    <w:name w:val="Default Paragraph Font"/>
    <w:autoRedefine/>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Body Text"/>
    <w:basedOn w:val="1"/>
    <w:unhideWhenUsed/>
    <w:qFormat/>
    <w:uiPriority w:val="99"/>
    <w:pPr>
      <w:widowControl/>
      <w:adjustRightInd w:val="0"/>
      <w:snapToGrid w:val="0"/>
      <w:spacing w:after="120"/>
      <w:jc w:val="left"/>
    </w:pPr>
    <w:rPr>
      <w:rFonts w:ascii="Tahoma" w:hAnsi="Tahoma" w:eastAsia="微软雅黑"/>
      <w:kern w:val="0"/>
      <w:sz w:val="22"/>
    </w:rPr>
  </w:style>
  <w:style w:type="paragraph" w:styleId="5">
    <w:name w:val="Balloon Text"/>
    <w:basedOn w:val="1"/>
    <w:link w:val="22"/>
    <w:autoRedefine/>
    <w:unhideWhenUsed/>
    <w:qFormat/>
    <w:uiPriority w:val="99"/>
    <w:rPr>
      <w:sz w:val="18"/>
      <w:szCs w:val="18"/>
    </w:rPr>
  </w:style>
  <w:style w:type="paragraph" w:styleId="6">
    <w:name w:val="footer"/>
    <w:basedOn w:val="1"/>
    <w:link w:val="14"/>
    <w:unhideWhenUsed/>
    <w:qFormat/>
    <w:uiPriority w:val="99"/>
    <w:pPr>
      <w:tabs>
        <w:tab w:val="center" w:pos="4153"/>
        <w:tab w:val="right" w:pos="8306"/>
      </w:tabs>
      <w:snapToGrid w:val="0"/>
      <w:jc w:val="left"/>
    </w:pPr>
    <w:rPr>
      <w:sz w:val="18"/>
      <w:szCs w:val="18"/>
    </w:rPr>
  </w:style>
  <w:style w:type="paragraph" w:styleId="7">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itle"/>
    <w:basedOn w:val="1"/>
    <w:next w:val="1"/>
    <w:link w:val="15"/>
    <w:qFormat/>
    <w:uiPriority w:val="10"/>
    <w:pPr>
      <w:spacing w:before="240" w:after="60"/>
      <w:jc w:val="center"/>
      <w:outlineLvl w:val="0"/>
    </w:pPr>
    <w:rPr>
      <w:rFonts w:eastAsia="宋体" w:asciiTheme="majorHAnsi" w:hAnsiTheme="majorHAnsi" w:cstheme="majorBidi"/>
      <w:b/>
      <w:bCs/>
      <w:sz w:val="32"/>
      <w:szCs w:val="32"/>
    </w:rPr>
  </w:style>
  <w:style w:type="table" w:styleId="10">
    <w:name w:val="Table Grid"/>
    <w:basedOn w:val="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Emphasis"/>
    <w:basedOn w:val="11"/>
    <w:autoRedefine/>
    <w:qFormat/>
    <w:uiPriority w:val="20"/>
    <w:rPr>
      <w:i/>
    </w:rPr>
  </w:style>
  <w:style w:type="character" w:customStyle="1" w:styleId="13">
    <w:name w:val="页眉 Char"/>
    <w:basedOn w:val="11"/>
    <w:link w:val="7"/>
    <w:autoRedefine/>
    <w:qFormat/>
    <w:uiPriority w:val="99"/>
    <w:rPr>
      <w:sz w:val="18"/>
      <w:szCs w:val="18"/>
    </w:rPr>
  </w:style>
  <w:style w:type="character" w:customStyle="1" w:styleId="14">
    <w:name w:val="页脚 Char"/>
    <w:basedOn w:val="11"/>
    <w:link w:val="6"/>
    <w:qFormat/>
    <w:uiPriority w:val="99"/>
    <w:rPr>
      <w:sz w:val="18"/>
      <w:szCs w:val="18"/>
    </w:rPr>
  </w:style>
  <w:style w:type="character" w:customStyle="1" w:styleId="15">
    <w:name w:val="标题 Char"/>
    <w:basedOn w:val="11"/>
    <w:link w:val="8"/>
    <w:autoRedefine/>
    <w:qFormat/>
    <w:uiPriority w:val="10"/>
    <w:rPr>
      <w:rFonts w:eastAsia="宋体" w:asciiTheme="majorHAnsi" w:hAnsiTheme="majorHAnsi" w:cstheme="majorBidi"/>
      <w:b/>
      <w:bCs/>
      <w:sz w:val="32"/>
      <w:szCs w:val="32"/>
    </w:rPr>
  </w:style>
  <w:style w:type="character" w:customStyle="1" w:styleId="16">
    <w:name w:val="标题 1 Char"/>
    <w:basedOn w:val="11"/>
    <w:link w:val="2"/>
    <w:autoRedefine/>
    <w:qFormat/>
    <w:uiPriority w:val="9"/>
    <w:rPr>
      <w:b/>
      <w:bCs/>
      <w:kern w:val="44"/>
      <w:sz w:val="44"/>
      <w:szCs w:val="44"/>
    </w:rPr>
  </w:style>
  <w:style w:type="paragraph" w:customStyle="1" w:styleId="17">
    <w:name w:val="列出段落1"/>
    <w:basedOn w:val="1"/>
    <w:qFormat/>
    <w:uiPriority w:val="34"/>
    <w:pPr>
      <w:ind w:firstLine="420" w:firstLineChars="200"/>
    </w:pPr>
  </w:style>
  <w:style w:type="character" w:customStyle="1" w:styleId="18">
    <w:name w:val="标题 2 Char"/>
    <w:basedOn w:val="11"/>
    <w:link w:val="3"/>
    <w:autoRedefine/>
    <w:qFormat/>
    <w:uiPriority w:val="9"/>
    <w:rPr>
      <w:rFonts w:asciiTheme="majorHAnsi" w:hAnsiTheme="majorHAnsi" w:eastAsiaTheme="majorEastAsia" w:cstheme="majorBidi"/>
      <w:b/>
      <w:bCs/>
      <w:sz w:val="32"/>
      <w:szCs w:val="32"/>
    </w:rPr>
  </w:style>
  <w:style w:type="paragraph" w:customStyle="1" w:styleId="19">
    <w:name w:val="段"/>
    <w:link w:val="20"/>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20">
    <w:name w:val="段 Char"/>
    <w:link w:val="19"/>
    <w:autoRedefine/>
    <w:qFormat/>
    <w:uiPriority w:val="0"/>
    <w:rPr>
      <w:rFonts w:ascii="宋体" w:hAnsi="Times New Roman" w:eastAsia="宋体" w:cs="Times New Roman"/>
      <w:kern w:val="0"/>
      <w:szCs w:val="20"/>
    </w:rPr>
  </w:style>
  <w:style w:type="paragraph" w:customStyle="1" w:styleId="21">
    <w:name w:val="Default"/>
    <w:autoRedefine/>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character" w:customStyle="1" w:styleId="22">
    <w:name w:val="批注框文本 Char"/>
    <w:basedOn w:val="11"/>
    <w:link w:val="5"/>
    <w:autoRedefine/>
    <w:semiHidden/>
    <w:qFormat/>
    <w:uiPriority w:val="99"/>
    <w:rPr>
      <w:kern w:val="2"/>
      <w:sz w:val="18"/>
      <w:szCs w:val="18"/>
    </w:rPr>
  </w:style>
  <w:style w:type="paragraph" w:customStyle="1" w:styleId="23">
    <w:name w:val="示例"/>
    <w:next w:val="1"/>
    <w:autoRedefine/>
    <w:qFormat/>
    <w:uiPriority w:val="0"/>
    <w:pPr>
      <w:widowControl w:val="0"/>
      <w:ind w:firstLine="363"/>
      <w:jc w:val="both"/>
    </w:pPr>
    <w:rPr>
      <w:rFonts w:ascii="宋体" w:hAnsi="Times New Roman" w:eastAsia="宋体" w:cs="Times New Roman"/>
      <w:sz w:val="18"/>
      <w:szCs w:val="18"/>
      <w:lang w:val="en-US" w:eastAsia="zh-CN" w:bidi="ar-SA"/>
    </w:rPr>
  </w:style>
  <w:style w:type="paragraph" w:customStyle="1" w:styleId="24">
    <w:name w:val="列出段落2"/>
    <w:basedOn w:val="1"/>
    <w:autoRedefine/>
    <w:qFormat/>
    <w:uiPriority w:val="34"/>
    <w:pPr>
      <w:ind w:firstLine="420" w:firstLineChars="200"/>
    </w:pPr>
  </w:style>
  <w:style w:type="paragraph" w:styleId="25">
    <w:name w:val="List Paragraph"/>
    <w:basedOn w:val="1"/>
    <w:autoRedefine/>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DF5C4F-1104-4735-9A77-E3CB6DB04233}">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13</Pages>
  <Words>8305</Words>
  <Characters>9215</Characters>
  <Lines>22</Lines>
  <Paragraphs>6</Paragraphs>
  <TotalTime>1</TotalTime>
  <ScaleCrop>false</ScaleCrop>
  <LinksUpToDate>false</LinksUpToDate>
  <CharactersWithSpaces>9486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2021-11-12T07:06:00Z</dcterms:created>
  <dc:creator>ZDD</dc:creator>
  <cp:lastModifiedBy>zx</cp:lastModifiedBy>
  <cp:lastPrinted>2019-09-04T00:26:00Z</cp:lastPrinted>
  <dcterms:modified xsi:type="dcterms:W3CDTF">2025-05-16T09:19:30Z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9A731F1234534441929CD016D10CD63A</vt:lpwstr>
  </property>
  <property fmtid="{D5CDD505-2E9C-101B-9397-08002B2CF9AE}" pid="4" name="KSOTemplateDocerSaveRecord">
    <vt:lpwstr>eyJoZGlkIjoiN2M1YzVhNjMwZmM2ZDg2OGNiMjNiZGMyMTM3NzExNjYiLCJ1c2VySWQiOiIzNTI5ODExOTYifQ==</vt:lpwstr>
  </property>
</Properties>
</file>