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962E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5DC0E7E0">
            <w:pPr>
              <w:pStyle w:val="20"/>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B082752">
            <w:pPr>
              <w:pStyle w:val="20"/>
              <w:framePr w:wrap="notBeside" w:vAnchor="page" w:hAnchor="page" w:x="1372" w:y="568"/>
              <w:tabs>
                <w:tab w:val="clear" w:pos="4153"/>
                <w:tab w:val="clear" w:pos="8306"/>
              </w:tabs>
              <w:spacing w:line="240" w:lineRule="auto"/>
              <w:ind w:left="3"/>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07.040</w:t>
            </w:r>
            <w:r>
              <w:rPr>
                <w:rFonts w:ascii="黑体" w:hAnsi="黑体" w:eastAsia="黑体"/>
                <w:sz w:val="21"/>
                <w:szCs w:val="21"/>
              </w:rPr>
              <w:fldChar w:fldCharType="end"/>
            </w:r>
            <w:bookmarkEnd w:id="0"/>
          </w:p>
        </w:tc>
      </w:tr>
      <w:tr w14:paraId="30BCA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D177DB7">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8B08C82">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A75</w:t>
            </w:r>
            <w:r>
              <w:rPr>
                <w:rFonts w:ascii="黑体" w:hAnsi="黑体" w:eastAsia="黑体"/>
                <w:sz w:val="21"/>
                <w:szCs w:val="21"/>
              </w:rPr>
              <w:fldChar w:fldCharType="end"/>
            </w:r>
            <w:bookmarkEnd w:id="1"/>
          </w:p>
        </w:tc>
      </w:tr>
    </w:tbl>
    <w:tbl>
      <w:tblPr>
        <w:tblStyle w:val="30"/>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14:paraId="4630E2C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1128" w:hRule="atLeast"/>
        </w:trPr>
        <w:tc>
          <w:tcPr>
            <w:tcW w:w="4990" w:type="dxa"/>
          </w:tcPr>
          <w:p w14:paraId="55EC1BC7">
            <w:pPr>
              <w:pStyle w:val="53"/>
              <w:framePr w:w="0" w:hRule="auto" w:wrap="auto" w:vAnchor="margin" w:hAnchor="text" w:xAlign="left" w:yAlign="inline"/>
              <w:tabs>
                <w:tab w:val="left" w:pos="645"/>
                <w:tab w:val="right" w:pos="4990"/>
              </w:tabs>
              <w:ind w:firstLine="420"/>
              <w:jc w:val="left"/>
            </w:pPr>
            <w:bookmarkStart w:id="2" w:name="_Hlk26473981"/>
            <w:r>
              <w:tab/>
            </w:r>
            <w:r>
              <w:tab/>
            </w:r>
            <w:r>
              <w:fldChar w:fldCharType="begin">
                <w:ffData>
                  <w:name w:val="c1"/>
                  <w:enabled/>
                  <w:calcOnExit w:val="0"/>
                  <w:textInput>
                    <w:maxLength w:val="8"/>
                  </w:textInput>
                </w:ffData>
              </w:fldChar>
            </w:r>
            <w:bookmarkStart w:id="3" w:name="c1"/>
            <w:r>
              <w:instrText xml:space="preserve"> FORMTEXT </w:instrText>
            </w:r>
            <w:r>
              <w:fldChar w:fldCharType="separate"/>
            </w:r>
            <w:r>
              <w:t xml:space="preserve">CH </w:t>
            </w:r>
            <w:r>
              <w:fldChar w:fldCharType="end"/>
            </w:r>
            <w:bookmarkEnd w:id="3"/>
          </w:p>
        </w:tc>
      </w:tr>
    </w:tbl>
    <w:p w14:paraId="7C69DD3D">
      <w:pPr>
        <w:pStyle w:val="54"/>
        <w:framePr w:w="9639" w:h="624" w:hRule="exact" w:hSpace="181" w:vSpace="181" w:wrap="around" w:hAnchor="page" w:x="1305" w:y="2269"/>
        <w:rPr>
          <w:rFonts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测绘</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14:paraId="08AFA565">
      <w:pPr>
        <w:pStyle w:val="199"/>
        <w:framePr w:wrap="around"/>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CH</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rPr>
          <w:lang w:val="fr-FR"/>
        </w:rP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1F6C2607">
      <w:pPr>
        <w:pStyle w:val="200"/>
        <w:framePr w:wrap="around"/>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Ansi="黑体"/>
        </w:rPr>
        <w:t>代替</w:t>
      </w:r>
      <w:r>
        <w:rPr>
          <w:rFonts w:hAnsi="黑体"/>
          <w:lang w:val="fr-FR"/>
        </w:rPr>
        <w:t xml:space="preserve"> XX/T</w:t>
      </w:r>
      <w:r>
        <w:rPr>
          <w:rFonts w:hAnsi="黑体"/>
        </w:rPr>
        <w:fldChar w:fldCharType="end"/>
      </w:r>
      <w:bookmarkEnd w:id="8"/>
    </w:p>
    <w:p w14:paraId="5ECD56BA">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91C04A6">
      <w:pPr>
        <w:pStyle w:val="54"/>
        <w:framePr w:w="9639" w:h="6976" w:hRule="exact" w:hSpace="0" w:vSpace="0" w:wrap="around" w:hAnchor="page" w:y="6408"/>
        <w:jc w:val="center"/>
        <w:rPr>
          <w:rFonts w:ascii="黑体" w:hAnsi="黑体" w:eastAsia="黑体"/>
          <w:b w:val="0"/>
          <w:bCs w:val="0"/>
          <w:w w:val="100"/>
          <w:lang w:val="fr-FR"/>
        </w:rPr>
      </w:pPr>
    </w:p>
    <w:p w14:paraId="21D263B8">
      <w:pPr>
        <w:pStyle w:val="201"/>
        <w:framePr w:h="6974" w:hRule="exact" w:wrap="around" w:x="1419" w:anchorLock="1"/>
      </w:pPr>
      <w:bookmarkStart w:id="129" w:name="_GoBack"/>
      <w:r>
        <w:rPr>
          <w:rFonts w:hint="eastAsia"/>
        </w:rPr>
        <w:t>超高层建筑施工测量规范</w:t>
      </w:r>
    </w:p>
    <w:bookmarkEnd w:id="129"/>
    <w:p w14:paraId="131C0174">
      <w:pPr>
        <w:framePr w:w="9639" w:h="6974" w:hRule="exact" w:wrap="around" w:vAnchor="page" w:hAnchor="page" w:x="1419" w:y="6408" w:anchorLock="1"/>
        <w:ind w:left="-1418"/>
        <w:rPr>
          <w:lang w:val="fr-FR"/>
        </w:rPr>
      </w:pPr>
    </w:p>
    <w:p w14:paraId="668BDC9D">
      <w:pPr>
        <w:pStyle w:val="129"/>
        <w:framePr w:w="9639" w:h="6974" w:hRule="exact" w:wrap="around" w:vAnchor="page" w:hAnchor="page" w:x="1419" w:y="6408" w:anchorLock="1"/>
        <w:textAlignment w:val="bottom"/>
        <w:rPr>
          <w:rFonts w:eastAsia="黑体"/>
          <w:szCs w:val="28"/>
        </w:rPr>
      </w:pPr>
      <w:r>
        <w:rPr>
          <w:rFonts w:eastAsia="黑体"/>
          <w:szCs w:val="28"/>
        </w:rPr>
        <w:t>Specifications for the construction surveying of</w:t>
      </w:r>
    </w:p>
    <w:p w14:paraId="26FBDB2F">
      <w:pPr>
        <w:pStyle w:val="129"/>
        <w:framePr w:w="9639" w:h="6974" w:hRule="exact" w:wrap="around" w:vAnchor="page" w:hAnchor="page" w:x="1419" w:y="6408" w:anchorLock="1"/>
        <w:textAlignment w:val="bottom"/>
        <w:rPr>
          <w:rFonts w:eastAsia="黑体"/>
          <w:szCs w:val="28"/>
        </w:rPr>
      </w:pPr>
      <w:r>
        <w:rPr>
          <w:rFonts w:eastAsia="黑体"/>
          <w:szCs w:val="28"/>
        </w:rPr>
        <w:t>super high rise building</w:t>
      </w:r>
    </w:p>
    <w:p w14:paraId="0CDC6403">
      <w:pPr>
        <w:framePr w:w="9639" w:h="6974" w:hRule="exact" w:wrap="around" w:vAnchor="page" w:hAnchor="page" w:x="1419" w:y="6408" w:anchorLock="1"/>
        <w:spacing w:line="760" w:lineRule="exact"/>
        <w:ind w:left="-1418"/>
      </w:pPr>
    </w:p>
    <w:p w14:paraId="5498F94B">
      <w:pPr>
        <w:pStyle w:val="129"/>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9" w:name="IN_STD_COD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9"/>
    </w:p>
    <w:p w14:paraId="36A45FF5">
      <w:pPr>
        <w:pStyle w:val="129"/>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ddList>
              <w:listEntry w:val="（征求意见稿）"/>
              <w:listEntry w:val="（工作组第三次讨论稿）"/>
              <w:listEntry w:val="（工作组讨论稿）"/>
              <w:listEntry w:val="草案版次选择"/>
              <w:listEntry w:val="（送审讨论稿）"/>
              <w:listEntry w:val="（送审稿）"/>
              <w:listEntry w:val="（报批稿）"/>
            </w:ddList>
          </w:ffData>
        </w:fldChar>
      </w:r>
      <w:bookmarkStart w:id="10" w:name="下拉1"/>
      <w:r>
        <w:rPr>
          <w:sz w:val="24"/>
          <w:szCs w:val="28"/>
        </w:rPr>
        <w:instrText xml:space="preserve"> FORMDROPDOWN </w:instrText>
      </w:r>
      <w:r>
        <w:rPr>
          <w:sz w:val="24"/>
          <w:szCs w:val="28"/>
        </w:rPr>
        <w:fldChar w:fldCharType="separate"/>
      </w:r>
      <w:r>
        <w:rPr>
          <w:sz w:val="24"/>
          <w:szCs w:val="28"/>
        </w:rPr>
        <w:fldChar w:fldCharType="end"/>
      </w:r>
      <w:bookmarkEnd w:id="10"/>
    </w:p>
    <w:p w14:paraId="2B8D9967">
      <w:pPr>
        <w:pStyle w:val="129"/>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1"/>
    </w:p>
    <w:p w14:paraId="666A12EA">
      <w:pPr>
        <w:pStyle w:val="129"/>
        <w:framePr w:w="9639" w:h="6974" w:hRule="exact" w:wrap="around" w:vAnchor="page" w:hAnchor="page" w:x="1419" w:y="6408" w:anchorLock="1"/>
        <w:spacing w:before="720" w:beforeLines="300" w:after="72" w:afterLines="30" w:line="240" w:lineRule="auto"/>
        <w:textAlignment w:val="bottom"/>
        <w:rPr>
          <w:b/>
          <w:sz w:val="21"/>
          <w:szCs w:val="28"/>
        </w:rPr>
      </w:pPr>
    </w:p>
    <w:p w14:paraId="6B3E0E3E">
      <w:pPr>
        <w:pStyle w:val="197"/>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14:paraId="188F1CCF">
      <w:pPr>
        <w:pStyle w:val="198"/>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14:paraId="18767670">
      <w:pPr>
        <w:pStyle w:val="155"/>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中华人民共和国自然资源部</w:t>
      </w:r>
      <w:r>
        <w:rPr>
          <w:rFonts w:hAnsi="黑体"/>
          <w:w w:val="100"/>
          <w:sz w:val="28"/>
        </w:rPr>
        <w:fldChar w:fldCharType="end"/>
      </w:r>
      <w:bookmarkEnd w:id="18"/>
      <w:r>
        <w:rPr>
          <w:rFonts w:ascii="Times New Roman"/>
          <w:w w:val="100"/>
          <w:sz w:val="28"/>
          <w:szCs w:val="28"/>
        </w:rPr>
        <w:t>  </w:t>
      </w:r>
      <w:r>
        <w:rPr>
          <w:rStyle w:val="233"/>
          <w:rFonts w:hint="eastAsia" w:hAnsi="黑体"/>
          <w:position w:val="0"/>
        </w:rPr>
        <w:t>发</w:t>
      </w:r>
      <w:r>
        <w:rPr>
          <w:rStyle w:val="233"/>
          <w:rFonts w:hint="eastAsia" w:hAnsi="黑体"/>
          <w:spacing w:val="0"/>
          <w:position w:val="0"/>
        </w:rPr>
        <w:t>布</w:t>
      </w:r>
    </w:p>
    <w:p w14:paraId="79071EA3">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021"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45640C8A">
      <w:pPr>
        <w:pStyle w:val="95"/>
        <w:spacing w:after="360"/>
      </w:pPr>
      <w:bookmarkStart w:id="19" w:name="BookMark1"/>
      <w:r>
        <w:rPr>
          <w:spacing w:val="320"/>
        </w:rPr>
        <w:t>目</w:t>
      </w:r>
      <w:r>
        <w:t>次</w:t>
      </w:r>
    </w:p>
    <w:p w14:paraId="33796FE7">
      <w:pPr>
        <w:pStyle w:val="21"/>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"_Toc203213025" </w:instrText>
      </w:r>
      <w:r>
        <w:fldChar w:fldCharType="separate"/>
      </w:r>
      <w:r>
        <w:rPr>
          <w:rStyle w:val="35"/>
        </w:rPr>
        <w:t>1 范围</w:t>
      </w:r>
      <w:r>
        <w:tab/>
      </w:r>
      <w:r>
        <w:fldChar w:fldCharType="begin"/>
      </w:r>
      <w:r>
        <w:instrText xml:space="preserve"> PAGEREF _Toc203213025 \h </w:instrText>
      </w:r>
      <w:r>
        <w:fldChar w:fldCharType="separate"/>
      </w:r>
      <w:r>
        <w:t>3</w:t>
      </w:r>
      <w:r>
        <w:fldChar w:fldCharType="end"/>
      </w:r>
      <w:r>
        <w:fldChar w:fldCharType="end"/>
      </w:r>
    </w:p>
    <w:p w14:paraId="673C02E7">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"_Toc203213026" </w:instrText>
      </w:r>
      <w:r>
        <w:fldChar w:fldCharType="separate"/>
      </w:r>
      <w:r>
        <w:rPr>
          <w:rStyle w:val="35"/>
        </w:rPr>
        <w:t>2 规范性引用文件</w:t>
      </w:r>
      <w:r>
        <w:tab/>
      </w:r>
      <w:r>
        <w:fldChar w:fldCharType="begin"/>
      </w:r>
      <w:r>
        <w:instrText xml:space="preserve"> PAGEREF _Toc203213026 \h </w:instrText>
      </w:r>
      <w:r>
        <w:fldChar w:fldCharType="separate"/>
      </w:r>
      <w:r>
        <w:t>3</w:t>
      </w:r>
      <w:r>
        <w:fldChar w:fldCharType="end"/>
      </w:r>
      <w:r>
        <w:fldChar w:fldCharType="end"/>
      </w:r>
    </w:p>
    <w:p w14:paraId="409F0A7A">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"_Toc203213027" </w:instrText>
      </w:r>
      <w:r>
        <w:fldChar w:fldCharType="separate"/>
      </w:r>
      <w:r>
        <w:rPr>
          <w:rStyle w:val="35"/>
        </w:rPr>
        <w:t>3 术语和定义</w:t>
      </w:r>
      <w:r>
        <w:tab/>
      </w:r>
      <w:r>
        <w:fldChar w:fldCharType="begin"/>
      </w:r>
      <w:r>
        <w:instrText xml:space="preserve"> PAGEREF _Toc203213027 \h </w:instrText>
      </w:r>
      <w:r>
        <w:fldChar w:fldCharType="separate"/>
      </w:r>
      <w:r>
        <w:t>3</w:t>
      </w:r>
      <w:r>
        <w:fldChar w:fldCharType="end"/>
      </w:r>
      <w:r>
        <w:fldChar w:fldCharType="end"/>
      </w:r>
    </w:p>
    <w:p w14:paraId="0236511E">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"_Toc203213028" </w:instrText>
      </w:r>
      <w:r>
        <w:fldChar w:fldCharType="separate"/>
      </w:r>
      <w:r>
        <w:rPr>
          <w:rStyle w:val="35"/>
        </w:rPr>
        <w:t>4 基本规定</w:t>
      </w:r>
      <w:r>
        <w:tab/>
      </w:r>
      <w:r>
        <w:fldChar w:fldCharType="begin"/>
      </w:r>
      <w:r>
        <w:instrText xml:space="preserve"> PAGEREF _Toc203213028 \h </w:instrText>
      </w:r>
      <w:r>
        <w:fldChar w:fldCharType="separate"/>
      </w:r>
      <w:r>
        <w:t>4</w:t>
      </w:r>
      <w:r>
        <w:fldChar w:fldCharType="end"/>
      </w:r>
      <w:r>
        <w:fldChar w:fldCharType="end"/>
      </w:r>
    </w:p>
    <w:p w14:paraId="105221C8">
      <w:pPr>
        <w:pStyle w:val="26"/>
        <w:rPr>
          <w:rFonts w:asciiTheme="minorHAnsi" w:hAnsiTheme="minorHAnsi" w:eastAsiaTheme="minorEastAsia" w:cstheme="minorBidi"/>
          <w:szCs w:val="22"/>
        </w:rPr>
      </w:pPr>
      <w:r>
        <w:fldChar w:fldCharType="begin"/>
      </w:r>
      <w:r>
        <w:instrText xml:space="preserve"> HYPERLINK \l "_Toc203213029" </w:instrText>
      </w:r>
      <w:r>
        <w:fldChar w:fldCharType="separate"/>
      </w:r>
      <w:r>
        <w:rPr>
          <w:rStyle w:val="35"/>
          <w14:scene3d>
            <w14:lightRig w14:rig="threePt" w14:dir="t">
              <w14:rot w14:lat="0" w14:lon="0" w14:rev="0"/>
            </w14:lightRig>
          </w14:scene3d>
        </w:rPr>
        <w:t>4.1</w:t>
      </w:r>
      <w:r>
        <w:rPr>
          <w:rStyle w:val="35"/>
          <w:rFonts w:hAnsi="黑体"/>
        </w:rPr>
        <w:t xml:space="preserve"> 一般规定</w:t>
      </w:r>
      <w:r>
        <w:tab/>
      </w:r>
      <w:r>
        <w:fldChar w:fldCharType="begin"/>
      </w:r>
      <w:r>
        <w:instrText xml:space="preserve"> PAGEREF _Toc203213029 \h </w:instrText>
      </w:r>
      <w:r>
        <w:fldChar w:fldCharType="separate"/>
      </w:r>
      <w:r>
        <w:t>4</w:t>
      </w:r>
      <w:r>
        <w:fldChar w:fldCharType="end"/>
      </w:r>
      <w:r>
        <w:fldChar w:fldCharType="end"/>
      </w:r>
    </w:p>
    <w:p w14:paraId="1B3D4459">
      <w:pPr>
        <w:pStyle w:val="26"/>
        <w:rPr>
          <w:rFonts w:asciiTheme="minorHAnsi" w:hAnsiTheme="minorHAnsi" w:eastAsiaTheme="minorEastAsia" w:cstheme="minorBidi"/>
          <w:szCs w:val="22"/>
        </w:rPr>
      </w:pPr>
      <w:r>
        <w:fldChar w:fldCharType="begin"/>
      </w:r>
      <w:r>
        <w:instrText xml:space="preserve"> HYPERLINK \l "_Toc203213030" </w:instrText>
      </w:r>
      <w:r>
        <w:fldChar w:fldCharType="separate"/>
      </w:r>
      <w:r>
        <w:rPr>
          <w:rStyle w:val="35"/>
          <w14:scene3d>
            <w14:lightRig w14:rig="threePt" w14:dir="t">
              <w14:rot w14:lat="0" w14:lon="0" w14:rev="0"/>
            </w14:lightRig>
          </w14:scene3d>
        </w:rPr>
        <w:t>4.2</w:t>
      </w:r>
      <w:r>
        <w:rPr>
          <w:rStyle w:val="35"/>
          <w:rFonts w:hAnsi="黑体"/>
        </w:rPr>
        <w:t xml:space="preserve"> 技术准备</w:t>
      </w:r>
      <w:r>
        <w:tab/>
      </w:r>
      <w:r>
        <w:fldChar w:fldCharType="begin"/>
      </w:r>
      <w:r>
        <w:instrText xml:space="preserve"> PAGEREF _Toc203213030 \h </w:instrText>
      </w:r>
      <w:r>
        <w:fldChar w:fldCharType="separate"/>
      </w:r>
      <w:r>
        <w:t>4</w:t>
      </w:r>
      <w:r>
        <w:fldChar w:fldCharType="end"/>
      </w:r>
      <w:r>
        <w:fldChar w:fldCharType="end"/>
      </w:r>
    </w:p>
    <w:p w14:paraId="2D009E24">
      <w:pPr>
        <w:pStyle w:val="26"/>
        <w:rPr>
          <w:rFonts w:asciiTheme="minorHAnsi" w:hAnsiTheme="minorHAnsi" w:eastAsiaTheme="minorEastAsia" w:cstheme="minorBidi"/>
          <w:szCs w:val="22"/>
        </w:rPr>
      </w:pPr>
      <w:r>
        <w:fldChar w:fldCharType="begin"/>
      </w:r>
      <w:r>
        <w:instrText xml:space="preserve"> HYPERLINK \l "_Toc203213031" </w:instrText>
      </w:r>
      <w:r>
        <w:fldChar w:fldCharType="separate"/>
      </w:r>
      <w:r>
        <w:rPr>
          <w:rStyle w:val="35"/>
          <w14:scene3d>
            <w14:lightRig w14:rig="threePt" w14:dir="t">
              <w14:rot w14:lat="0" w14:lon="0" w14:rev="0"/>
            </w14:lightRig>
          </w14:scene3d>
        </w:rPr>
        <w:t>4.3</w:t>
      </w:r>
      <w:r>
        <w:rPr>
          <w:rStyle w:val="35"/>
        </w:rPr>
        <w:t xml:space="preserve"> 质量检验要求</w:t>
      </w:r>
      <w:r>
        <w:tab/>
      </w:r>
      <w:r>
        <w:fldChar w:fldCharType="begin"/>
      </w:r>
      <w:r>
        <w:instrText xml:space="preserve"> PAGEREF _Toc203213031 \h </w:instrText>
      </w:r>
      <w:r>
        <w:fldChar w:fldCharType="separate"/>
      </w:r>
      <w:r>
        <w:t>5</w:t>
      </w:r>
      <w:r>
        <w:fldChar w:fldCharType="end"/>
      </w:r>
      <w:r>
        <w:fldChar w:fldCharType="end"/>
      </w:r>
    </w:p>
    <w:p w14:paraId="51F5ECD5">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"_Toc203213032" </w:instrText>
      </w:r>
      <w:r>
        <w:fldChar w:fldCharType="separate"/>
      </w:r>
      <w:r>
        <w:rPr>
          <w:rStyle w:val="35"/>
        </w:rPr>
        <w:t>5 平面控制测量</w:t>
      </w:r>
      <w:r>
        <w:tab/>
      </w:r>
      <w:r>
        <w:fldChar w:fldCharType="begin"/>
      </w:r>
      <w:r>
        <w:instrText xml:space="preserve"> PAGEREF _Toc203213032 \h </w:instrText>
      </w:r>
      <w:r>
        <w:fldChar w:fldCharType="separate"/>
      </w:r>
      <w:r>
        <w:t>5</w:t>
      </w:r>
      <w:r>
        <w:fldChar w:fldCharType="end"/>
      </w:r>
      <w:r>
        <w:fldChar w:fldCharType="end"/>
      </w:r>
    </w:p>
    <w:p w14:paraId="33E9C912">
      <w:pPr>
        <w:pStyle w:val="26"/>
        <w:rPr>
          <w:rFonts w:asciiTheme="minorHAnsi" w:hAnsiTheme="minorHAnsi" w:eastAsiaTheme="minorEastAsia" w:cstheme="minorBidi"/>
          <w:szCs w:val="22"/>
        </w:rPr>
      </w:pPr>
      <w:r>
        <w:fldChar w:fldCharType="begin"/>
      </w:r>
      <w:r>
        <w:instrText xml:space="preserve"> HYPERLINK \l "_Toc203213033" </w:instrText>
      </w:r>
      <w:r>
        <w:fldChar w:fldCharType="separate"/>
      </w:r>
      <w:r>
        <w:rPr>
          <w:rStyle w:val="35"/>
          <w14:scene3d>
            <w14:lightRig w14:rig="threePt" w14:dir="t">
              <w14:rot w14:lat="0" w14:lon="0" w14:rev="0"/>
            </w14:lightRig>
          </w14:scene3d>
        </w:rPr>
        <w:t>5.1</w:t>
      </w:r>
      <w:r>
        <w:rPr>
          <w:rStyle w:val="35"/>
          <w:rFonts w:hAnsi="黑体"/>
        </w:rPr>
        <w:t xml:space="preserve"> 一般规定</w:t>
      </w:r>
      <w:r>
        <w:tab/>
      </w:r>
      <w:r>
        <w:fldChar w:fldCharType="begin"/>
      </w:r>
      <w:r>
        <w:instrText xml:space="preserve"> PAGEREF _Toc203213033 \h </w:instrText>
      </w:r>
      <w:r>
        <w:fldChar w:fldCharType="separate"/>
      </w:r>
      <w:r>
        <w:t>5</w:t>
      </w:r>
      <w:r>
        <w:fldChar w:fldCharType="end"/>
      </w:r>
      <w:r>
        <w:fldChar w:fldCharType="end"/>
      </w:r>
    </w:p>
    <w:p w14:paraId="1353AD71">
      <w:pPr>
        <w:pStyle w:val="26"/>
        <w:rPr>
          <w:rFonts w:asciiTheme="minorHAnsi" w:hAnsiTheme="minorHAnsi" w:eastAsiaTheme="minorEastAsia" w:cstheme="minorBidi"/>
          <w:szCs w:val="22"/>
        </w:rPr>
      </w:pPr>
      <w:r>
        <w:fldChar w:fldCharType="begin"/>
      </w:r>
      <w:r>
        <w:instrText xml:space="preserve"> HYPERLINK \l "_Toc203213034" </w:instrText>
      </w:r>
      <w:r>
        <w:fldChar w:fldCharType="separate"/>
      </w:r>
      <w:r>
        <w:rPr>
          <w:rStyle w:val="35"/>
          <w14:scene3d>
            <w14:lightRig w14:rig="threePt" w14:dir="t">
              <w14:rot w14:lat="0" w14:lon="0" w14:rev="0"/>
            </w14:lightRig>
          </w14:scene3d>
        </w:rPr>
        <w:t>5.2</w:t>
      </w:r>
      <w:r>
        <w:rPr>
          <w:rStyle w:val="35"/>
          <w:rFonts w:hAnsi="黑体"/>
        </w:rPr>
        <w:t xml:space="preserve"> 场区平面控制测量</w:t>
      </w:r>
      <w:r>
        <w:tab/>
      </w:r>
      <w:r>
        <w:fldChar w:fldCharType="begin"/>
      </w:r>
      <w:r>
        <w:instrText xml:space="preserve"> PAGEREF _Toc203213034 \h </w:instrText>
      </w:r>
      <w:r>
        <w:fldChar w:fldCharType="separate"/>
      </w:r>
      <w:r>
        <w:t>6</w:t>
      </w:r>
      <w:r>
        <w:fldChar w:fldCharType="end"/>
      </w:r>
      <w:r>
        <w:fldChar w:fldCharType="end"/>
      </w:r>
    </w:p>
    <w:p w14:paraId="14DBA47E">
      <w:pPr>
        <w:pStyle w:val="26"/>
        <w:rPr>
          <w:rFonts w:asciiTheme="minorHAnsi" w:hAnsiTheme="minorHAnsi" w:eastAsiaTheme="minorEastAsia" w:cstheme="minorBidi"/>
          <w:szCs w:val="22"/>
        </w:rPr>
      </w:pPr>
      <w:r>
        <w:fldChar w:fldCharType="begin"/>
      </w:r>
      <w:r>
        <w:instrText xml:space="preserve"> HYPERLINK \l "_Toc203213035" </w:instrText>
      </w:r>
      <w:r>
        <w:fldChar w:fldCharType="separate"/>
      </w:r>
      <w:r>
        <w:rPr>
          <w:rStyle w:val="35"/>
          <w14:scene3d>
            <w14:lightRig w14:rig="threePt" w14:dir="t">
              <w14:rot w14:lat="0" w14:lon="0" w14:rev="0"/>
            </w14:lightRig>
          </w14:scene3d>
        </w:rPr>
        <w:t>5.3</w:t>
      </w:r>
      <w:r>
        <w:rPr>
          <w:rStyle w:val="35"/>
          <w:rFonts w:hAnsi="黑体"/>
        </w:rPr>
        <w:t xml:space="preserve"> 建筑物平面控制测量</w:t>
      </w:r>
      <w:r>
        <w:tab/>
      </w:r>
      <w:r>
        <w:fldChar w:fldCharType="begin"/>
      </w:r>
      <w:r>
        <w:instrText xml:space="preserve"> PAGEREF _Toc203213035 \h </w:instrText>
      </w:r>
      <w:r>
        <w:fldChar w:fldCharType="separate"/>
      </w:r>
      <w:r>
        <w:t>7</w:t>
      </w:r>
      <w:r>
        <w:fldChar w:fldCharType="end"/>
      </w:r>
      <w:r>
        <w:fldChar w:fldCharType="end"/>
      </w:r>
    </w:p>
    <w:p w14:paraId="297D88C6">
      <w:pPr>
        <w:pStyle w:val="26"/>
        <w:rPr>
          <w:rFonts w:asciiTheme="minorHAnsi" w:hAnsiTheme="minorHAnsi" w:eastAsiaTheme="minorEastAsia" w:cstheme="minorBidi"/>
          <w:szCs w:val="22"/>
        </w:rPr>
      </w:pPr>
      <w:r>
        <w:fldChar w:fldCharType="begin"/>
      </w:r>
      <w:r>
        <w:instrText xml:space="preserve"> HYPERLINK \l "_Toc203213036" </w:instrText>
      </w:r>
      <w:r>
        <w:fldChar w:fldCharType="separate"/>
      </w:r>
      <w:r>
        <w:rPr>
          <w:rStyle w:val="35"/>
          <w14:scene3d>
            <w14:lightRig w14:rig="threePt" w14:dir="t">
              <w14:rot w14:lat="0" w14:lon="0" w14:rev="0"/>
            </w14:lightRig>
          </w14:scene3d>
        </w:rPr>
        <w:t>5.4</w:t>
      </w:r>
      <w:r>
        <w:rPr>
          <w:rStyle w:val="35"/>
          <w:rFonts w:hAnsi="黑体"/>
        </w:rPr>
        <w:t xml:space="preserve"> 轴线竖向传递</w:t>
      </w:r>
      <w:r>
        <w:tab/>
      </w:r>
      <w:r>
        <w:fldChar w:fldCharType="begin"/>
      </w:r>
      <w:r>
        <w:instrText xml:space="preserve"> PAGEREF _Toc203213036 \h </w:instrText>
      </w:r>
      <w:r>
        <w:fldChar w:fldCharType="separate"/>
      </w:r>
      <w:r>
        <w:t>7</w:t>
      </w:r>
      <w:r>
        <w:fldChar w:fldCharType="end"/>
      </w:r>
      <w:r>
        <w:fldChar w:fldCharType="end"/>
      </w:r>
    </w:p>
    <w:p w14:paraId="5C8307CA">
      <w:pPr>
        <w:pStyle w:val="26"/>
        <w:rPr>
          <w:rFonts w:asciiTheme="minorHAnsi" w:hAnsiTheme="minorHAnsi" w:eastAsiaTheme="minorEastAsia" w:cstheme="minorBidi"/>
          <w:szCs w:val="22"/>
        </w:rPr>
      </w:pPr>
      <w:r>
        <w:fldChar w:fldCharType="begin"/>
      </w:r>
      <w:r>
        <w:instrText xml:space="preserve"> HYPERLINK \l "_Toc203213037" </w:instrText>
      </w:r>
      <w:r>
        <w:fldChar w:fldCharType="separate"/>
      </w:r>
      <w:r>
        <w:rPr>
          <w:rStyle w:val="35"/>
          <w14:scene3d>
            <w14:lightRig w14:rig="threePt" w14:dir="t">
              <w14:rot w14:lat="0" w14:lon="0" w14:rev="0"/>
            </w14:lightRig>
          </w14:scene3d>
        </w:rPr>
        <w:t>5.5</w:t>
      </w:r>
      <w:r>
        <w:rPr>
          <w:rStyle w:val="35"/>
          <w:rFonts w:hAnsi="黑体"/>
        </w:rPr>
        <w:t xml:space="preserve"> 数据处理</w:t>
      </w:r>
      <w:r>
        <w:tab/>
      </w:r>
      <w:r>
        <w:fldChar w:fldCharType="begin"/>
      </w:r>
      <w:r>
        <w:instrText xml:space="preserve"> PAGEREF _Toc203213037 \h </w:instrText>
      </w:r>
      <w:r>
        <w:fldChar w:fldCharType="separate"/>
      </w:r>
      <w:r>
        <w:t>8</w:t>
      </w:r>
      <w:r>
        <w:fldChar w:fldCharType="end"/>
      </w:r>
      <w:r>
        <w:fldChar w:fldCharType="end"/>
      </w:r>
    </w:p>
    <w:p w14:paraId="492D0DAD">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"_Toc203213038" </w:instrText>
      </w:r>
      <w:r>
        <w:fldChar w:fldCharType="separate"/>
      </w:r>
      <w:r>
        <w:rPr>
          <w:rStyle w:val="35"/>
        </w:rPr>
        <w:t>6 高程控制测量</w:t>
      </w:r>
      <w:r>
        <w:tab/>
      </w:r>
      <w:r>
        <w:fldChar w:fldCharType="begin"/>
      </w:r>
      <w:r>
        <w:instrText xml:space="preserve"> PAGEREF _Toc203213038 \h </w:instrText>
      </w:r>
      <w:r>
        <w:fldChar w:fldCharType="separate"/>
      </w:r>
      <w:r>
        <w:t>9</w:t>
      </w:r>
      <w:r>
        <w:fldChar w:fldCharType="end"/>
      </w:r>
      <w:r>
        <w:fldChar w:fldCharType="end"/>
      </w:r>
    </w:p>
    <w:p w14:paraId="70664683">
      <w:pPr>
        <w:pStyle w:val="26"/>
        <w:rPr>
          <w:rFonts w:asciiTheme="minorHAnsi" w:hAnsiTheme="minorHAnsi" w:eastAsiaTheme="minorEastAsia" w:cstheme="minorBidi"/>
          <w:szCs w:val="22"/>
        </w:rPr>
      </w:pPr>
      <w:r>
        <w:fldChar w:fldCharType="begin"/>
      </w:r>
      <w:r>
        <w:instrText xml:space="preserve"> HYPERLINK \l "_Toc203213039" </w:instrText>
      </w:r>
      <w:r>
        <w:fldChar w:fldCharType="separate"/>
      </w:r>
      <w:r>
        <w:rPr>
          <w:rStyle w:val="35"/>
          <w14:scene3d>
            <w14:lightRig w14:rig="threePt" w14:dir="t">
              <w14:rot w14:lat="0" w14:lon="0" w14:rev="0"/>
            </w14:lightRig>
          </w14:scene3d>
        </w:rPr>
        <w:t>6.1</w:t>
      </w:r>
      <w:r>
        <w:rPr>
          <w:rStyle w:val="35"/>
        </w:rPr>
        <w:t xml:space="preserve"> 一般规定</w:t>
      </w:r>
      <w:r>
        <w:tab/>
      </w:r>
      <w:r>
        <w:fldChar w:fldCharType="begin"/>
      </w:r>
      <w:r>
        <w:instrText xml:space="preserve"> PAGEREF _Toc203213039 \h </w:instrText>
      </w:r>
      <w:r>
        <w:fldChar w:fldCharType="separate"/>
      </w:r>
      <w:r>
        <w:t>9</w:t>
      </w:r>
      <w:r>
        <w:fldChar w:fldCharType="end"/>
      </w:r>
      <w:r>
        <w:fldChar w:fldCharType="end"/>
      </w:r>
    </w:p>
    <w:p w14:paraId="4D4DD230">
      <w:pPr>
        <w:pStyle w:val="26"/>
        <w:rPr>
          <w:rFonts w:asciiTheme="minorHAnsi" w:hAnsiTheme="minorHAnsi" w:eastAsiaTheme="minorEastAsia" w:cstheme="minorBidi"/>
          <w:szCs w:val="22"/>
        </w:rPr>
      </w:pPr>
      <w:r>
        <w:fldChar w:fldCharType="begin"/>
      </w:r>
      <w:r>
        <w:instrText xml:space="preserve"> HYPERLINK \l "_Toc203213040" </w:instrText>
      </w:r>
      <w:r>
        <w:fldChar w:fldCharType="separate"/>
      </w:r>
      <w:r>
        <w:rPr>
          <w:rStyle w:val="35"/>
          <w14:scene3d>
            <w14:lightRig w14:rig="threePt" w14:dir="t">
              <w14:rot w14:lat="0" w14:lon="0" w14:rev="0"/>
            </w14:lightRig>
          </w14:scene3d>
        </w:rPr>
        <w:t>6.2</w:t>
      </w:r>
      <w:r>
        <w:rPr>
          <w:rStyle w:val="35"/>
        </w:rPr>
        <w:t xml:space="preserve"> 场区高程控制测量</w:t>
      </w:r>
      <w:r>
        <w:tab/>
      </w:r>
      <w:r>
        <w:fldChar w:fldCharType="begin"/>
      </w:r>
      <w:r>
        <w:instrText xml:space="preserve"> PAGEREF _Toc203213040 \h </w:instrText>
      </w:r>
      <w:r>
        <w:fldChar w:fldCharType="separate"/>
      </w:r>
      <w:r>
        <w:t>9</w:t>
      </w:r>
      <w:r>
        <w:fldChar w:fldCharType="end"/>
      </w:r>
      <w:r>
        <w:fldChar w:fldCharType="end"/>
      </w:r>
    </w:p>
    <w:p w14:paraId="72A83813">
      <w:pPr>
        <w:pStyle w:val="26"/>
        <w:rPr>
          <w:rFonts w:asciiTheme="minorHAnsi" w:hAnsiTheme="minorHAnsi" w:eastAsiaTheme="minorEastAsia" w:cstheme="minorBidi"/>
          <w:szCs w:val="22"/>
        </w:rPr>
      </w:pPr>
      <w:r>
        <w:fldChar w:fldCharType="begin"/>
      </w:r>
      <w:r>
        <w:instrText xml:space="preserve"> HYPERLINK \l "_Toc203213041" </w:instrText>
      </w:r>
      <w:r>
        <w:fldChar w:fldCharType="separate"/>
      </w:r>
      <w:r>
        <w:rPr>
          <w:rStyle w:val="35"/>
          <w14:scene3d>
            <w14:lightRig w14:rig="threePt" w14:dir="t">
              <w14:rot w14:lat="0" w14:lon="0" w14:rev="0"/>
            </w14:lightRig>
          </w14:scene3d>
        </w:rPr>
        <w:t>6.3</w:t>
      </w:r>
      <w:r>
        <w:rPr>
          <w:rStyle w:val="35"/>
        </w:rPr>
        <w:t xml:space="preserve"> 建筑高程控制测量</w:t>
      </w:r>
      <w:r>
        <w:tab/>
      </w:r>
      <w:r>
        <w:fldChar w:fldCharType="begin"/>
      </w:r>
      <w:r>
        <w:instrText xml:space="preserve"> PAGEREF _Toc203213041 \h </w:instrText>
      </w:r>
      <w:r>
        <w:fldChar w:fldCharType="separate"/>
      </w:r>
      <w:r>
        <w:t>9</w:t>
      </w:r>
      <w:r>
        <w:fldChar w:fldCharType="end"/>
      </w:r>
      <w:r>
        <w:fldChar w:fldCharType="end"/>
      </w:r>
    </w:p>
    <w:p w14:paraId="61B6DB3F">
      <w:pPr>
        <w:pStyle w:val="26"/>
        <w:rPr>
          <w:rFonts w:asciiTheme="minorHAnsi" w:hAnsiTheme="minorHAnsi" w:eastAsiaTheme="minorEastAsia" w:cstheme="minorBidi"/>
          <w:szCs w:val="22"/>
        </w:rPr>
      </w:pPr>
      <w:r>
        <w:fldChar w:fldCharType="begin"/>
      </w:r>
      <w:r>
        <w:instrText xml:space="preserve"> HYPERLINK \l "_Toc203213042" </w:instrText>
      </w:r>
      <w:r>
        <w:fldChar w:fldCharType="separate"/>
      </w:r>
      <w:r>
        <w:rPr>
          <w:rStyle w:val="35"/>
          <w14:scene3d>
            <w14:lightRig w14:rig="threePt" w14:dir="t">
              <w14:rot w14:lat="0" w14:lon="0" w14:rev="0"/>
            </w14:lightRig>
          </w14:scene3d>
        </w:rPr>
        <w:t>6.4</w:t>
      </w:r>
      <w:r>
        <w:rPr>
          <w:rStyle w:val="35"/>
        </w:rPr>
        <w:t xml:space="preserve"> 标高竖向传递</w:t>
      </w:r>
      <w:r>
        <w:tab/>
      </w:r>
      <w:r>
        <w:fldChar w:fldCharType="begin"/>
      </w:r>
      <w:r>
        <w:instrText xml:space="preserve"> PAGEREF _Toc203213042 \h </w:instrText>
      </w:r>
      <w:r>
        <w:fldChar w:fldCharType="separate"/>
      </w:r>
      <w:r>
        <w:t>10</w:t>
      </w:r>
      <w:r>
        <w:fldChar w:fldCharType="end"/>
      </w:r>
      <w:r>
        <w:fldChar w:fldCharType="end"/>
      </w:r>
    </w:p>
    <w:p w14:paraId="7E250074">
      <w:pPr>
        <w:pStyle w:val="26"/>
        <w:rPr>
          <w:rFonts w:asciiTheme="minorHAnsi" w:hAnsiTheme="minorHAnsi" w:eastAsiaTheme="minorEastAsia" w:cstheme="minorBidi"/>
          <w:szCs w:val="22"/>
        </w:rPr>
      </w:pPr>
      <w:r>
        <w:fldChar w:fldCharType="begin"/>
      </w:r>
      <w:r>
        <w:instrText xml:space="preserve"> HYPERLINK \l "_Toc203213043" </w:instrText>
      </w:r>
      <w:r>
        <w:fldChar w:fldCharType="separate"/>
      </w:r>
      <w:r>
        <w:rPr>
          <w:rStyle w:val="35"/>
          <w14:scene3d>
            <w14:lightRig w14:rig="threePt" w14:dir="t">
              <w14:rot w14:lat="0" w14:lon="0" w14:rev="0"/>
            </w14:lightRig>
          </w14:scene3d>
        </w:rPr>
        <w:t>6.5</w:t>
      </w:r>
      <w:r>
        <w:rPr>
          <w:rStyle w:val="35"/>
        </w:rPr>
        <w:t xml:space="preserve"> 数据处理</w:t>
      </w:r>
      <w:r>
        <w:tab/>
      </w:r>
      <w:r>
        <w:fldChar w:fldCharType="begin"/>
      </w:r>
      <w:r>
        <w:instrText xml:space="preserve"> PAGEREF _Toc203213043 \h </w:instrText>
      </w:r>
      <w:r>
        <w:fldChar w:fldCharType="separate"/>
      </w:r>
      <w:r>
        <w:t>10</w:t>
      </w:r>
      <w:r>
        <w:fldChar w:fldCharType="end"/>
      </w:r>
      <w:r>
        <w:fldChar w:fldCharType="end"/>
      </w:r>
    </w:p>
    <w:p w14:paraId="7C89ACDB">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"_Toc203213044" </w:instrText>
      </w:r>
      <w:r>
        <w:fldChar w:fldCharType="separate"/>
      </w:r>
      <w:r>
        <w:rPr>
          <w:rStyle w:val="35"/>
        </w:rPr>
        <w:t>7 深基坑监测</w:t>
      </w:r>
      <w:r>
        <w:tab/>
      </w:r>
      <w:r>
        <w:fldChar w:fldCharType="begin"/>
      </w:r>
      <w:r>
        <w:instrText xml:space="preserve"> PAGEREF _Toc203213044 \h </w:instrText>
      </w:r>
      <w:r>
        <w:fldChar w:fldCharType="separate"/>
      </w:r>
      <w:r>
        <w:t>11</w:t>
      </w:r>
      <w:r>
        <w:fldChar w:fldCharType="end"/>
      </w:r>
      <w:r>
        <w:fldChar w:fldCharType="end"/>
      </w:r>
    </w:p>
    <w:p w14:paraId="033BAC34">
      <w:pPr>
        <w:pStyle w:val="26"/>
        <w:rPr>
          <w:rFonts w:asciiTheme="minorHAnsi" w:hAnsiTheme="minorHAnsi" w:eastAsiaTheme="minorEastAsia" w:cstheme="minorBidi"/>
          <w:szCs w:val="22"/>
        </w:rPr>
      </w:pPr>
      <w:r>
        <w:fldChar w:fldCharType="begin"/>
      </w:r>
      <w:r>
        <w:instrText xml:space="preserve"> HYPERLINK \l "_Toc203213045" </w:instrText>
      </w:r>
      <w:r>
        <w:fldChar w:fldCharType="separate"/>
      </w:r>
      <w:r>
        <w:rPr>
          <w:rStyle w:val="35"/>
          <w14:scene3d>
            <w14:lightRig w14:rig="threePt" w14:dir="t">
              <w14:rot w14:lat="0" w14:lon="0" w14:rev="0"/>
            </w14:lightRig>
          </w14:scene3d>
        </w:rPr>
        <w:t>7.1</w:t>
      </w:r>
      <w:r>
        <w:rPr>
          <w:rStyle w:val="35"/>
        </w:rPr>
        <w:t xml:space="preserve"> 一般规定</w:t>
      </w:r>
      <w:r>
        <w:tab/>
      </w:r>
      <w:r>
        <w:fldChar w:fldCharType="begin"/>
      </w:r>
      <w:r>
        <w:instrText xml:space="preserve"> PAGEREF _Toc203213045 \h </w:instrText>
      </w:r>
      <w:r>
        <w:fldChar w:fldCharType="separate"/>
      </w:r>
      <w:r>
        <w:t>11</w:t>
      </w:r>
      <w:r>
        <w:fldChar w:fldCharType="end"/>
      </w:r>
      <w:r>
        <w:fldChar w:fldCharType="end"/>
      </w:r>
    </w:p>
    <w:p w14:paraId="34E12E3F">
      <w:pPr>
        <w:pStyle w:val="26"/>
        <w:rPr>
          <w:rFonts w:asciiTheme="minorHAnsi" w:hAnsiTheme="minorHAnsi" w:eastAsiaTheme="minorEastAsia" w:cstheme="minorBidi"/>
          <w:szCs w:val="22"/>
        </w:rPr>
      </w:pPr>
      <w:r>
        <w:fldChar w:fldCharType="begin"/>
      </w:r>
      <w:r>
        <w:instrText xml:space="preserve"> HYPERLINK \l "_Toc203213046" </w:instrText>
      </w:r>
      <w:r>
        <w:fldChar w:fldCharType="separate"/>
      </w:r>
      <w:r>
        <w:rPr>
          <w:rStyle w:val="35"/>
          <w14:scene3d>
            <w14:lightRig w14:rig="threePt" w14:dir="t">
              <w14:rot w14:lat="0" w14:lon="0" w14:rev="0"/>
            </w14:lightRig>
          </w14:scene3d>
        </w:rPr>
        <w:t>7.2</w:t>
      </w:r>
      <w:r>
        <w:rPr>
          <w:rStyle w:val="35"/>
        </w:rPr>
        <w:t xml:space="preserve"> 监测、现场巡视及预警</w:t>
      </w:r>
      <w:r>
        <w:tab/>
      </w:r>
      <w:r>
        <w:fldChar w:fldCharType="begin"/>
      </w:r>
      <w:r>
        <w:instrText xml:space="preserve"> PAGEREF _Toc203213046 \h </w:instrText>
      </w:r>
      <w:r>
        <w:fldChar w:fldCharType="separate"/>
      </w:r>
      <w:r>
        <w:t>11</w:t>
      </w:r>
      <w:r>
        <w:fldChar w:fldCharType="end"/>
      </w:r>
      <w:r>
        <w:fldChar w:fldCharType="end"/>
      </w:r>
    </w:p>
    <w:p w14:paraId="370D1CE3">
      <w:pPr>
        <w:pStyle w:val="26"/>
        <w:rPr>
          <w:rFonts w:asciiTheme="minorHAnsi" w:hAnsiTheme="minorHAnsi" w:eastAsiaTheme="minorEastAsia" w:cstheme="minorBidi"/>
          <w:szCs w:val="22"/>
        </w:rPr>
      </w:pPr>
      <w:r>
        <w:fldChar w:fldCharType="begin"/>
      </w:r>
      <w:r>
        <w:instrText xml:space="preserve"> HYPERLINK \l "_Toc203213047" </w:instrText>
      </w:r>
      <w:r>
        <w:fldChar w:fldCharType="separate"/>
      </w:r>
      <w:r>
        <w:rPr>
          <w:rStyle w:val="35"/>
          <w14:scene3d>
            <w14:lightRig w14:rig="threePt" w14:dir="t">
              <w14:rot w14:lat="0" w14:lon="0" w14:rev="0"/>
            </w14:lightRig>
          </w14:scene3d>
        </w:rPr>
        <w:t>7.3</w:t>
      </w:r>
      <w:r>
        <w:rPr>
          <w:rStyle w:val="35"/>
        </w:rPr>
        <w:t xml:space="preserve"> 数据处理与信息反馈</w:t>
      </w:r>
      <w:r>
        <w:tab/>
      </w:r>
      <w:r>
        <w:fldChar w:fldCharType="begin"/>
      </w:r>
      <w:r>
        <w:instrText xml:space="preserve"> PAGEREF _Toc203213047 \h </w:instrText>
      </w:r>
      <w:r>
        <w:fldChar w:fldCharType="separate"/>
      </w:r>
      <w:r>
        <w:t>14</w:t>
      </w:r>
      <w:r>
        <w:fldChar w:fldCharType="end"/>
      </w:r>
      <w:r>
        <w:fldChar w:fldCharType="end"/>
      </w:r>
    </w:p>
    <w:p w14:paraId="1E5B4FC3">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"_Toc203213048" </w:instrText>
      </w:r>
      <w:r>
        <w:fldChar w:fldCharType="separate"/>
      </w:r>
      <w:r>
        <w:rPr>
          <w:rStyle w:val="35"/>
        </w:rPr>
        <w:t>8 主体结构测量</w:t>
      </w:r>
      <w:r>
        <w:tab/>
      </w:r>
      <w:r>
        <w:fldChar w:fldCharType="begin"/>
      </w:r>
      <w:r>
        <w:instrText xml:space="preserve"> PAGEREF _Toc203213048 \h </w:instrText>
      </w:r>
      <w:r>
        <w:fldChar w:fldCharType="separate"/>
      </w:r>
      <w:r>
        <w:t>15</w:t>
      </w:r>
      <w:r>
        <w:fldChar w:fldCharType="end"/>
      </w:r>
      <w:r>
        <w:fldChar w:fldCharType="end"/>
      </w:r>
    </w:p>
    <w:p w14:paraId="37A660DF">
      <w:pPr>
        <w:pStyle w:val="26"/>
        <w:rPr>
          <w:rFonts w:asciiTheme="minorHAnsi" w:hAnsiTheme="minorHAnsi" w:eastAsiaTheme="minorEastAsia" w:cstheme="minorBidi"/>
          <w:szCs w:val="22"/>
        </w:rPr>
      </w:pPr>
      <w:r>
        <w:fldChar w:fldCharType="begin"/>
      </w:r>
      <w:r>
        <w:instrText xml:space="preserve"> HYPERLINK \l "_Toc203213049" </w:instrText>
      </w:r>
      <w:r>
        <w:fldChar w:fldCharType="separate"/>
      </w:r>
      <w:r>
        <w:rPr>
          <w:rStyle w:val="35"/>
          <w14:scene3d>
            <w14:lightRig w14:rig="threePt" w14:dir="t">
              <w14:rot w14:lat="0" w14:lon="0" w14:rev="0"/>
            </w14:lightRig>
          </w14:scene3d>
        </w:rPr>
        <w:t>8.1</w:t>
      </w:r>
      <w:r>
        <w:rPr>
          <w:rStyle w:val="35"/>
        </w:rPr>
        <w:t xml:space="preserve"> 一般规定</w:t>
      </w:r>
      <w:r>
        <w:tab/>
      </w:r>
      <w:r>
        <w:fldChar w:fldCharType="begin"/>
      </w:r>
      <w:r>
        <w:instrText xml:space="preserve"> PAGEREF _Toc203213049 \h </w:instrText>
      </w:r>
      <w:r>
        <w:fldChar w:fldCharType="separate"/>
      </w:r>
      <w:r>
        <w:t>15</w:t>
      </w:r>
      <w:r>
        <w:fldChar w:fldCharType="end"/>
      </w:r>
      <w:r>
        <w:fldChar w:fldCharType="end"/>
      </w:r>
    </w:p>
    <w:p w14:paraId="281A6F0B">
      <w:pPr>
        <w:pStyle w:val="26"/>
        <w:rPr>
          <w:rFonts w:asciiTheme="minorHAnsi" w:hAnsiTheme="minorHAnsi" w:eastAsiaTheme="minorEastAsia" w:cstheme="minorBidi"/>
          <w:szCs w:val="22"/>
        </w:rPr>
      </w:pPr>
      <w:r>
        <w:fldChar w:fldCharType="begin"/>
      </w:r>
      <w:r>
        <w:instrText xml:space="preserve"> HYPERLINK \l "_Toc203213050" </w:instrText>
      </w:r>
      <w:r>
        <w:fldChar w:fldCharType="separate"/>
      </w:r>
      <w:r>
        <w:rPr>
          <w:rStyle w:val="35"/>
          <w14:scene3d>
            <w14:lightRig w14:rig="threePt" w14:dir="t">
              <w14:rot w14:lat="0" w14:lon="0" w14:rev="0"/>
            </w14:lightRig>
          </w14:scene3d>
        </w:rPr>
        <w:t>8.2</w:t>
      </w:r>
      <w:r>
        <w:rPr>
          <w:rStyle w:val="35"/>
        </w:rPr>
        <w:t xml:space="preserve"> 支护结构和地基基础测量</w:t>
      </w:r>
      <w:r>
        <w:tab/>
      </w:r>
      <w:r>
        <w:fldChar w:fldCharType="begin"/>
      </w:r>
      <w:r>
        <w:instrText xml:space="preserve"> PAGEREF _Toc203213050 \h </w:instrText>
      </w:r>
      <w:r>
        <w:fldChar w:fldCharType="separate"/>
      </w:r>
      <w:r>
        <w:t>15</w:t>
      </w:r>
      <w:r>
        <w:fldChar w:fldCharType="end"/>
      </w:r>
      <w:r>
        <w:fldChar w:fldCharType="end"/>
      </w:r>
    </w:p>
    <w:p w14:paraId="5AACD395">
      <w:pPr>
        <w:pStyle w:val="26"/>
        <w:rPr>
          <w:rFonts w:asciiTheme="minorHAnsi" w:hAnsiTheme="minorHAnsi" w:eastAsiaTheme="minorEastAsia" w:cstheme="minorBidi"/>
          <w:szCs w:val="22"/>
        </w:rPr>
      </w:pPr>
      <w:r>
        <w:fldChar w:fldCharType="begin"/>
      </w:r>
      <w:r>
        <w:instrText xml:space="preserve"> HYPERLINK \l "_Toc203213051" </w:instrText>
      </w:r>
      <w:r>
        <w:fldChar w:fldCharType="separate"/>
      </w:r>
      <w:r>
        <w:rPr>
          <w:rStyle w:val="35"/>
          <w14:scene3d>
            <w14:lightRig w14:rig="threePt" w14:dir="t">
              <w14:rot w14:lat="0" w14:lon="0" w14:rev="0"/>
            </w14:lightRig>
          </w14:scene3d>
        </w:rPr>
        <w:t>8.3</w:t>
      </w:r>
      <w:r>
        <w:rPr>
          <w:rStyle w:val="35"/>
        </w:rPr>
        <w:t xml:space="preserve"> 混凝土结构测量</w:t>
      </w:r>
      <w:r>
        <w:tab/>
      </w:r>
      <w:r>
        <w:fldChar w:fldCharType="begin"/>
      </w:r>
      <w:r>
        <w:instrText xml:space="preserve"> PAGEREF _Toc203213051 \h </w:instrText>
      </w:r>
      <w:r>
        <w:fldChar w:fldCharType="separate"/>
      </w:r>
      <w:r>
        <w:t>16</w:t>
      </w:r>
      <w:r>
        <w:fldChar w:fldCharType="end"/>
      </w:r>
      <w:r>
        <w:fldChar w:fldCharType="end"/>
      </w:r>
    </w:p>
    <w:p w14:paraId="7434FA35">
      <w:pPr>
        <w:pStyle w:val="26"/>
        <w:rPr>
          <w:rFonts w:asciiTheme="minorHAnsi" w:hAnsiTheme="minorHAnsi" w:eastAsiaTheme="minorEastAsia" w:cstheme="minorBidi"/>
          <w:szCs w:val="22"/>
        </w:rPr>
      </w:pPr>
      <w:r>
        <w:fldChar w:fldCharType="begin"/>
      </w:r>
      <w:r>
        <w:instrText xml:space="preserve"> HYPERLINK \l "_Toc203213052" </w:instrText>
      </w:r>
      <w:r>
        <w:fldChar w:fldCharType="separate"/>
      </w:r>
      <w:r>
        <w:rPr>
          <w:rStyle w:val="35"/>
          <w14:scene3d>
            <w14:lightRig w14:rig="threePt" w14:dir="t">
              <w14:rot w14:lat="0" w14:lon="0" w14:rev="0"/>
            </w14:lightRig>
          </w14:scene3d>
        </w:rPr>
        <w:t>8.4</w:t>
      </w:r>
      <w:r>
        <w:rPr>
          <w:rStyle w:val="35"/>
        </w:rPr>
        <w:t xml:space="preserve"> 钢结构安装测量</w:t>
      </w:r>
      <w:r>
        <w:tab/>
      </w:r>
      <w:r>
        <w:fldChar w:fldCharType="begin"/>
      </w:r>
      <w:r>
        <w:instrText xml:space="preserve"> PAGEREF _Toc203213052 \h </w:instrText>
      </w:r>
      <w:r>
        <w:fldChar w:fldCharType="separate"/>
      </w:r>
      <w:r>
        <w:t>17</w:t>
      </w:r>
      <w:r>
        <w:fldChar w:fldCharType="end"/>
      </w:r>
      <w:r>
        <w:fldChar w:fldCharType="end"/>
      </w:r>
    </w:p>
    <w:p w14:paraId="04F7965B">
      <w:pPr>
        <w:pStyle w:val="26"/>
        <w:rPr>
          <w:rFonts w:asciiTheme="minorHAnsi" w:hAnsiTheme="minorHAnsi" w:eastAsiaTheme="minorEastAsia" w:cstheme="minorBidi"/>
          <w:szCs w:val="22"/>
        </w:rPr>
      </w:pPr>
      <w:r>
        <w:fldChar w:fldCharType="begin"/>
      </w:r>
      <w:r>
        <w:instrText xml:space="preserve"> HYPERLINK \l "_Toc203213053" </w:instrText>
      </w:r>
      <w:r>
        <w:fldChar w:fldCharType="separate"/>
      </w:r>
      <w:r>
        <w:rPr>
          <w:rStyle w:val="35"/>
          <w14:scene3d>
            <w14:lightRig w14:rig="threePt" w14:dir="t">
              <w14:rot w14:lat="0" w14:lon="0" w14:rev="0"/>
            </w14:lightRig>
          </w14:scene3d>
        </w:rPr>
        <w:t>8.5</w:t>
      </w:r>
      <w:r>
        <w:rPr>
          <w:rStyle w:val="35"/>
        </w:rPr>
        <w:t xml:space="preserve"> 归心测量</w:t>
      </w:r>
      <w:r>
        <w:tab/>
      </w:r>
      <w:r>
        <w:fldChar w:fldCharType="begin"/>
      </w:r>
      <w:r>
        <w:instrText xml:space="preserve"> PAGEREF _Toc203213053 \h </w:instrText>
      </w:r>
      <w:r>
        <w:fldChar w:fldCharType="separate"/>
      </w:r>
      <w:r>
        <w:t>17</w:t>
      </w:r>
      <w:r>
        <w:fldChar w:fldCharType="end"/>
      </w:r>
      <w:r>
        <w:fldChar w:fldCharType="end"/>
      </w:r>
    </w:p>
    <w:p w14:paraId="2B25C4B7">
      <w:pPr>
        <w:pStyle w:val="26"/>
        <w:rPr>
          <w:rFonts w:asciiTheme="minorHAnsi" w:hAnsiTheme="minorHAnsi" w:eastAsiaTheme="minorEastAsia" w:cstheme="minorBidi"/>
          <w:szCs w:val="22"/>
        </w:rPr>
      </w:pPr>
      <w:r>
        <w:fldChar w:fldCharType="begin"/>
      </w:r>
      <w:r>
        <w:instrText xml:space="preserve"> HYPERLINK \l "_Toc203213054" </w:instrText>
      </w:r>
      <w:r>
        <w:fldChar w:fldCharType="separate"/>
      </w:r>
      <w:r>
        <w:rPr>
          <w:rStyle w:val="35"/>
          <w14:scene3d>
            <w14:lightRig w14:rig="threePt" w14:dir="t">
              <w14:rot w14:lat="0" w14:lon="0" w14:rev="0"/>
            </w14:lightRig>
          </w14:scene3d>
        </w:rPr>
        <w:t>8.6</w:t>
      </w:r>
      <w:r>
        <w:rPr>
          <w:rStyle w:val="35"/>
        </w:rPr>
        <w:t xml:space="preserve"> 压缩变形测量及层高改正</w:t>
      </w:r>
      <w:r>
        <w:tab/>
      </w:r>
      <w:r>
        <w:fldChar w:fldCharType="begin"/>
      </w:r>
      <w:r>
        <w:instrText xml:space="preserve"> PAGEREF _Toc203213054 \h </w:instrText>
      </w:r>
      <w:r>
        <w:fldChar w:fldCharType="separate"/>
      </w:r>
      <w:r>
        <w:t>17</w:t>
      </w:r>
      <w:r>
        <w:fldChar w:fldCharType="end"/>
      </w:r>
      <w:r>
        <w:fldChar w:fldCharType="end"/>
      </w:r>
    </w:p>
    <w:p w14:paraId="750E523F">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"_Toc203213055" </w:instrText>
      </w:r>
      <w:r>
        <w:fldChar w:fldCharType="separate"/>
      </w:r>
      <w:r>
        <w:rPr>
          <w:rStyle w:val="35"/>
        </w:rPr>
        <w:t>9 机电安装和装饰测量</w:t>
      </w:r>
      <w:r>
        <w:tab/>
      </w:r>
      <w:r>
        <w:fldChar w:fldCharType="begin"/>
      </w:r>
      <w:r>
        <w:instrText xml:space="preserve"> PAGEREF _Toc203213055 \h </w:instrText>
      </w:r>
      <w:r>
        <w:fldChar w:fldCharType="separate"/>
      </w:r>
      <w:r>
        <w:t>18</w:t>
      </w:r>
      <w:r>
        <w:fldChar w:fldCharType="end"/>
      </w:r>
      <w:r>
        <w:fldChar w:fldCharType="end"/>
      </w:r>
    </w:p>
    <w:p w14:paraId="363869E5">
      <w:pPr>
        <w:pStyle w:val="26"/>
        <w:rPr>
          <w:rFonts w:asciiTheme="minorHAnsi" w:hAnsiTheme="minorHAnsi" w:eastAsiaTheme="minorEastAsia" w:cstheme="minorBidi"/>
          <w:szCs w:val="22"/>
        </w:rPr>
      </w:pPr>
      <w:r>
        <w:fldChar w:fldCharType="begin"/>
      </w:r>
      <w:r>
        <w:instrText xml:space="preserve"> HYPERLINK \l "_Toc203213056" </w:instrText>
      </w:r>
      <w:r>
        <w:fldChar w:fldCharType="separate"/>
      </w:r>
      <w:r>
        <w:rPr>
          <w:rStyle w:val="35"/>
          <w14:scene3d>
            <w14:lightRig w14:rig="threePt" w14:dir="t">
              <w14:rot w14:lat="0" w14:lon="0" w14:rev="0"/>
            </w14:lightRig>
          </w14:scene3d>
        </w:rPr>
        <w:t>9.1</w:t>
      </w:r>
      <w:r>
        <w:rPr>
          <w:rStyle w:val="35"/>
        </w:rPr>
        <w:t xml:space="preserve"> 一般规定</w:t>
      </w:r>
      <w:r>
        <w:tab/>
      </w:r>
      <w:r>
        <w:fldChar w:fldCharType="begin"/>
      </w:r>
      <w:r>
        <w:instrText xml:space="preserve"> PAGEREF _Toc203213056 \h </w:instrText>
      </w:r>
      <w:r>
        <w:fldChar w:fldCharType="separate"/>
      </w:r>
      <w:r>
        <w:t>18</w:t>
      </w:r>
      <w:r>
        <w:fldChar w:fldCharType="end"/>
      </w:r>
      <w:r>
        <w:fldChar w:fldCharType="end"/>
      </w:r>
    </w:p>
    <w:p w14:paraId="7107F74A">
      <w:pPr>
        <w:pStyle w:val="26"/>
        <w:rPr>
          <w:rFonts w:asciiTheme="minorHAnsi" w:hAnsiTheme="minorHAnsi" w:eastAsiaTheme="minorEastAsia" w:cstheme="minorBidi"/>
          <w:szCs w:val="22"/>
        </w:rPr>
      </w:pPr>
      <w:r>
        <w:fldChar w:fldCharType="begin"/>
      </w:r>
      <w:r>
        <w:instrText xml:space="preserve"> HYPERLINK \l "_Toc203213057" </w:instrText>
      </w:r>
      <w:r>
        <w:fldChar w:fldCharType="separate"/>
      </w:r>
      <w:r>
        <w:rPr>
          <w:rStyle w:val="35"/>
          <w14:scene3d>
            <w14:lightRig w14:rig="threePt" w14:dir="t">
              <w14:rot w14:lat="0" w14:lon="0" w14:rev="0"/>
            </w14:lightRig>
          </w14:scene3d>
        </w:rPr>
        <w:t>9.2</w:t>
      </w:r>
      <w:r>
        <w:rPr>
          <w:rStyle w:val="35"/>
        </w:rPr>
        <w:t xml:space="preserve"> 机电安装测量</w:t>
      </w:r>
      <w:r>
        <w:tab/>
      </w:r>
      <w:r>
        <w:fldChar w:fldCharType="begin"/>
      </w:r>
      <w:r>
        <w:instrText xml:space="preserve"> PAGEREF _Toc203213057 \h </w:instrText>
      </w:r>
      <w:r>
        <w:fldChar w:fldCharType="separate"/>
      </w:r>
      <w:r>
        <w:t>18</w:t>
      </w:r>
      <w:r>
        <w:fldChar w:fldCharType="end"/>
      </w:r>
      <w:r>
        <w:fldChar w:fldCharType="end"/>
      </w:r>
    </w:p>
    <w:p w14:paraId="0CF95118">
      <w:pPr>
        <w:pStyle w:val="26"/>
        <w:rPr>
          <w:rFonts w:asciiTheme="minorHAnsi" w:hAnsiTheme="minorHAnsi" w:eastAsiaTheme="minorEastAsia" w:cstheme="minorBidi"/>
          <w:szCs w:val="22"/>
        </w:rPr>
      </w:pPr>
      <w:r>
        <w:fldChar w:fldCharType="begin"/>
      </w:r>
      <w:r>
        <w:instrText xml:space="preserve"> HYPERLINK \l "_Toc203213058" </w:instrText>
      </w:r>
      <w:r>
        <w:fldChar w:fldCharType="separate"/>
      </w:r>
      <w:r>
        <w:rPr>
          <w:rStyle w:val="35"/>
          <w14:scene3d>
            <w14:lightRig w14:rig="threePt" w14:dir="t">
              <w14:rot w14:lat="0" w14:lon="0" w14:rev="0"/>
            </w14:lightRig>
          </w14:scene3d>
        </w:rPr>
        <w:t>9.3</w:t>
      </w:r>
      <w:r>
        <w:rPr>
          <w:rStyle w:val="35"/>
        </w:rPr>
        <w:t xml:space="preserve"> 装饰测量</w:t>
      </w:r>
      <w:r>
        <w:tab/>
      </w:r>
      <w:r>
        <w:fldChar w:fldCharType="begin"/>
      </w:r>
      <w:r>
        <w:instrText xml:space="preserve"> PAGEREF _Toc203213058 \h </w:instrText>
      </w:r>
      <w:r>
        <w:fldChar w:fldCharType="separate"/>
      </w:r>
      <w:r>
        <w:t>19</w:t>
      </w:r>
      <w:r>
        <w:fldChar w:fldCharType="end"/>
      </w:r>
      <w:r>
        <w:fldChar w:fldCharType="end"/>
      </w:r>
    </w:p>
    <w:p w14:paraId="1883AA74">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"_Toc203213059" </w:instrText>
      </w:r>
      <w:r>
        <w:fldChar w:fldCharType="separate"/>
      </w:r>
      <w:r>
        <w:rPr>
          <w:rStyle w:val="35"/>
        </w:rPr>
        <w:t>10 结构变形及健康监测</w:t>
      </w:r>
      <w:r>
        <w:tab/>
      </w:r>
      <w:r>
        <w:fldChar w:fldCharType="begin"/>
      </w:r>
      <w:r>
        <w:instrText xml:space="preserve"> PAGEREF _Toc203213059 \h </w:instrText>
      </w:r>
      <w:r>
        <w:fldChar w:fldCharType="separate"/>
      </w:r>
      <w:r>
        <w:t>20</w:t>
      </w:r>
      <w:r>
        <w:fldChar w:fldCharType="end"/>
      </w:r>
      <w:r>
        <w:fldChar w:fldCharType="end"/>
      </w:r>
    </w:p>
    <w:p w14:paraId="4E703630">
      <w:pPr>
        <w:pStyle w:val="26"/>
        <w:rPr>
          <w:rFonts w:asciiTheme="minorHAnsi" w:hAnsiTheme="minorHAnsi" w:eastAsiaTheme="minorEastAsia" w:cstheme="minorBidi"/>
          <w:szCs w:val="22"/>
        </w:rPr>
      </w:pPr>
      <w:r>
        <w:fldChar w:fldCharType="begin"/>
      </w:r>
      <w:r>
        <w:instrText xml:space="preserve"> HYPERLINK \l "_Toc203213060" </w:instrText>
      </w:r>
      <w:r>
        <w:fldChar w:fldCharType="separate"/>
      </w:r>
      <w:r>
        <w:rPr>
          <w:rStyle w:val="35"/>
          <w14:scene3d>
            <w14:lightRig w14:rig="threePt" w14:dir="t">
              <w14:rot w14:lat="0" w14:lon="0" w14:rev="0"/>
            </w14:lightRig>
          </w14:scene3d>
        </w:rPr>
        <w:t>10.1</w:t>
      </w:r>
      <w:r>
        <w:rPr>
          <w:rStyle w:val="35"/>
        </w:rPr>
        <w:t xml:space="preserve"> 一般规定</w:t>
      </w:r>
      <w:r>
        <w:tab/>
      </w:r>
      <w:r>
        <w:fldChar w:fldCharType="begin"/>
      </w:r>
      <w:r>
        <w:instrText xml:space="preserve"> PAGEREF _Toc203213060 \h </w:instrText>
      </w:r>
      <w:r>
        <w:fldChar w:fldCharType="separate"/>
      </w:r>
      <w:r>
        <w:t>20</w:t>
      </w:r>
      <w:r>
        <w:fldChar w:fldCharType="end"/>
      </w:r>
      <w:r>
        <w:fldChar w:fldCharType="end"/>
      </w:r>
    </w:p>
    <w:p w14:paraId="1644C08A">
      <w:pPr>
        <w:pStyle w:val="26"/>
        <w:rPr>
          <w:rFonts w:asciiTheme="minorHAnsi" w:hAnsiTheme="minorHAnsi" w:eastAsiaTheme="minorEastAsia" w:cstheme="minorBidi"/>
          <w:szCs w:val="22"/>
        </w:rPr>
      </w:pPr>
      <w:r>
        <w:fldChar w:fldCharType="begin"/>
      </w:r>
      <w:r>
        <w:instrText xml:space="preserve"> HYPERLINK \l "_Toc203213061" </w:instrText>
      </w:r>
      <w:r>
        <w:fldChar w:fldCharType="separate"/>
      </w:r>
      <w:r>
        <w:rPr>
          <w:rStyle w:val="35"/>
          <w14:scene3d>
            <w14:lightRig w14:rig="threePt" w14:dir="t">
              <w14:rot w14:lat="0" w14:lon="0" w14:rev="0"/>
            </w14:lightRig>
          </w14:scene3d>
        </w:rPr>
        <w:t>10.2</w:t>
      </w:r>
      <w:r>
        <w:rPr>
          <w:rStyle w:val="35"/>
        </w:rPr>
        <w:t xml:space="preserve"> 结构变形监测</w:t>
      </w:r>
      <w:r>
        <w:tab/>
      </w:r>
      <w:r>
        <w:fldChar w:fldCharType="begin"/>
      </w:r>
      <w:r>
        <w:instrText xml:space="preserve"> PAGEREF _Toc203213061 \h </w:instrText>
      </w:r>
      <w:r>
        <w:fldChar w:fldCharType="separate"/>
      </w:r>
      <w:r>
        <w:t>21</w:t>
      </w:r>
      <w:r>
        <w:fldChar w:fldCharType="end"/>
      </w:r>
      <w:r>
        <w:fldChar w:fldCharType="end"/>
      </w:r>
    </w:p>
    <w:p w14:paraId="7B0DBCB4">
      <w:pPr>
        <w:pStyle w:val="26"/>
        <w:rPr>
          <w:rFonts w:asciiTheme="minorHAnsi" w:hAnsiTheme="minorHAnsi" w:eastAsiaTheme="minorEastAsia" w:cstheme="minorBidi"/>
          <w:szCs w:val="22"/>
        </w:rPr>
      </w:pPr>
      <w:r>
        <w:fldChar w:fldCharType="begin"/>
      </w:r>
      <w:r>
        <w:instrText xml:space="preserve"> HYPERLINK \l "_Toc203213062" </w:instrText>
      </w:r>
      <w:r>
        <w:fldChar w:fldCharType="separate"/>
      </w:r>
      <w:r>
        <w:rPr>
          <w:rStyle w:val="35"/>
          <w14:scene3d>
            <w14:lightRig w14:rig="threePt" w14:dir="t">
              <w14:rot w14:lat="0" w14:lon="0" w14:rev="0"/>
            </w14:lightRig>
          </w14:scene3d>
        </w:rPr>
        <w:t>10.3</w:t>
      </w:r>
      <w:r>
        <w:rPr>
          <w:rStyle w:val="35"/>
        </w:rPr>
        <w:t xml:space="preserve"> 健康监测</w:t>
      </w:r>
      <w:r>
        <w:tab/>
      </w:r>
      <w:r>
        <w:fldChar w:fldCharType="begin"/>
      </w:r>
      <w:r>
        <w:instrText xml:space="preserve"> PAGEREF _Toc203213062 \h </w:instrText>
      </w:r>
      <w:r>
        <w:fldChar w:fldCharType="separate"/>
      </w:r>
      <w:r>
        <w:t>22</w:t>
      </w:r>
      <w:r>
        <w:fldChar w:fldCharType="end"/>
      </w:r>
      <w:r>
        <w:fldChar w:fldCharType="end"/>
      </w:r>
    </w:p>
    <w:p w14:paraId="0EB868F7">
      <w:pPr>
        <w:pStyle w:val="26"/>
        <w:rPr>
          <w:rFonts w:asciiTheme="minorHAnsi" w:hAnsiTheme="minorHAnsi" w:eastAsiaTheme="minorEastAsia" w:cstheme="minorBidi"/>
          <w:szCs w:val="22"/>
        </w:rPr>
      </w:pPr>
      <w:r>
        <w:fldChar w:fldCharType="begin"/>
      </w:r>
      <w:r>
        <w:instrText xml:space="preserve"> HYPERLINK \l "_Toc203213063" </w:instrText>
      </w:r>
      <w:r>
        <w:fldChar w:fldCharType="separate"/>
      </w:r>
      <w:r>
        <w:rPr>
          <w:rStyle w:val="35"/>
          <w14:scene3d>
            <w14:lightRig w14:rig="threePt" w14:dir="t">
              <w14:rot w14:lat="0" w14:lon="0" w14:rev="0"/>
            </w14:lightRig>
          </w14:scene3d>
        </w:rPr>
        <w:t>10.4</w:t>
      </w:r>
      <w:r>
        <w:rPr>
          <w:rStyle w:val="35"/>
        </w:rPr>
        <w:t xml:space="preserve"> 大型施工装备安全监测</w:t>
      </w:r>
      <w:r>
        <w:tab/>
      </w:r>
      <w:r>
        <w:fldChar w:fldCharType="begin"/>
      </w:r>
      <w:r>
        <w:instrText xml:space="preserve"> PAGEREF _Toc203213063 \h </w:instrText>
      </w:r>
      <w:r>
        <w:fldChar w:fldCharType="separate"/>
      </w:r>
      <w:r>
        <w:t>23</w:t>
      </w:r>
      <w:r>
        <w:fldChar w:fldCharType="end"/>
      </w:r>
      <w:r>
        <w:fldChar w:fldCharType="end"/>
      </w:r>
    </w:p>
    <w:p w14:paraId="395CA3D1">
      <w:pPr>
        <w:pStyle w:val="26"/>
        <w:rPr>
          <w:rFonts w:asciiTheme="minorHAnsi" w:hAnsiTheme="minorHAnsi" w:eastAsiaTheme="minorEastAsia" w:cstheme="minorBidi"/>
          <w:szCs w:val="22"/>
        </w:rPr>
      </w:pPr>
      <w:r>
        <w:fldChar w:fldCharType="begin"/>
      </w:r>
      <w:r>
        <w:instrText xml:space="preserve"> HYPERLINK \l "_Toc203213064" </w:instrText>
      </w:r>
      <w:r>
        <w:fldChar w:fldCharType="separate"/>
      </w:r>
      <w:r>
        <w:rPr>
          <w:rStyle w:val="35"/>
          <w14:scene3d>
            <w14:lightRig w14:rig="threePt" w14:dir="t">
              <w14:rot w14:lat="0" w14:lon="0" w14:rev="0"/>
            </w14:lightRig>
          </w14:scene3d>
        </w:rPr>
        <w:t>10.5</w:t>
      </w:r>
      <w:r>
        <w:rPr>
          <w:rStyle w:val="35"/>
        </w:rPr>
        <w:t xml:space="preserve"> 成果整理与分析</w:t>
      </w:r>
      <w:r>
        <w:tab/>
      </w:r>
      <w:r>
        <w:fldChar w:fldCharType="begin"/>
      </w:r>
      <w:r>
        <w:instrText xml:space="preserve"> PAGEREF _Toc203213064 \h </w:instrText>
      </w:r>
      <w:r>
        <w:fldChar w:fldCharType="separate"/>
      </w:r>
      <w:r>
        <w:t>23</w:t>
      </w:r>
      <w:r>
        <w:fldChar w:fldCharType="end"/>
      </w:r>
      <w:r>
        <w:fldChar w:fldCharType="end"/>
      </w:r>
    </w:p>
    <w:p w14:paraId="28BBBC18">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"_Toc203213065" </w:instrText>
      </w:r>
      <w:r>
        <w:fldChar w:fldCharType="separate"/>
      </w:r>
      <w:r>
        <w:rPr>
          <w:rStyle w:val="35"/>
        </w:rPr>
        <w:t>11 竣工测量</w:t>
      </w:r>
      <w:r>
        <w:tab/>
      </w:r>
      <w:r>
        <w:fldChar w:fldCharType="begin"/>
      </w:r>
      <w:r>
        <w:instrText xml:space="preserve"> PAGEREF _Toc203213065 \h </w:instrText>
      </w:r>
      <w:r>
        <w:fldChar w:fldCharType="separate"/>
      </w:r>
      <w:r>
        <w:t>24</w:t>
      </w:r>
      <w:r>
        <w:fldChar w:fldCharType="end"/>
      </w:r>
      <w:r>
        <w:fldChar w:fldCharType="end"/>
      </w:r>
    </w:p>
    <w:p w14:paraId="2F5F9A9E">
      <w:pPr>
        <w:pStyle w:val="26"/>
        <w:rPr>
          <w:rFonts w:asciiTheme="minorHAnsi" w:hAnsiTheme="minorHAnsi" w:eastAsiaTheme="minorEastAsia" w:cstheme="minorBidi"/>
          <w:szCs w:val="22"/>
        </w:rPr>
      </w:pPr>
      <w:r>
        <w:fldChar w:fldCharType="begin"/>
      </w:r>
      <w:r>
        <w:instrText xml:space="preserve"> HYPERLINK \l "_Toc203213066" </w:instrText>
      </w:r>
      <w:r>
        <w:fldChar w:fldCharType="separate"/>
      </w:r>
      <w:r>
        <w:rPr>
          <w:rStyle w:val="35"/>
          <w14:scene3d>
            <w14:lightRig w14:rig="threePt" w14:dir="t">
              <w14:rot w14:lat="0" w14:lon="0" w14:rev="0"/>
            </w14:lightRig>
          </w14:scene3d>
        </w:rPr>
        <w:t>11.1</w:t>
      </w:r>
      <w:r>
        <w:rPr>
          <w:rStyle w:val="35"/>
        </w:rPr>
        <w:t xml:space="preserve"> 一般规定</w:t>
      </w:r>
      <w:r>
        <w:tab/>
      </w:r>
      <w:r>
        <w:fldChar w:fldCharType="begin"/>
      </w:r>
      <w:r>
        <w:instrText xml:space="preserve"> PAGEREF _Toc203213066 \h </w:instrText>
      </w:r>
      <w:r>
        <w:fldChar w:fldCharType="separate"/>
      </w:r>
      <w:r>
        <w:t>24</w:t>
      </w:r>
      <w:r>
        <w:fldChar w:fldCharType="end"/>
      </w:r>
      <w:r>
        <w:fldChar w:fldCharType="end"/>
      </w:r>
    </w:p>
    <w:p w14:paraId="3029FBF7">
      <w:pPr>
        <w:pStyle w:val="26"/>
        <w:rPr>
          <w:rFonts w:asciiTheme="minorHAnsi" w:hAnsiTheme="minorHAnsi" w:eastAsiaTheme="minorEastAsia" w:cstheme="minorBidi"/>
          <w:szCs w:val="22"/>
        </w:rPr>
      </w:pPr>
      <w:r>
        <w:fldChar w:fldCharType="begin"/>
      </w:r>
      <w:r>
        <w:instrText xml:space="preserve"> HYPERLINK \l "_Toc203213067" </w:instrText>
      </w:r>
      <w:r>
        <w:fldChar w:fldCharType="separate"/>
      </w:r>
      <w:r>
        <w:rPr>
          <w:rStyle w:val="35"/>
          <w14:scene3d>
            <w14:lightRig w14:rig="threePt" w14:dir="t">
              <w14:rot w14:lat="0" w14:lon="0" w14:rev="0"/>
            </w14:lightRig>
          </w14:scene3d>
        </w:rPr>
        <w:t>11.2</w:t>
      </w:r>
      <w:r>
        <w:rPr>
          <w:rStyle w:val="35"/>
        </w:rPr>
        <w:t xml:space="preserve"> 测量方法</w:t>
      </w:r>
      <w:r>
        <w:tab/>
      </w:r>
      <w:r>
        <w:fldChar w:fldCharType="begin"/>
      </w:r>
      <w:r>
        <w:instrText xml:space="preserve"> PAGEREF _Toc203213067 \h </w:instrText>
      </w:r>
      <w:r>
        <w:fldChar w:fldCharType="separate"/>
      </w:r>
      <w:r>
        <w:t>24</w:t>
      </w:r>
      <w:r>
        <w:fldChar w:fldCharType="end"/>
      </w:r>
      <w:r>
        <w:fldChar w:fldCharType="end"/>
      </w:r>
    </w:p>
    <w:p w14:paraId="0F5BB007">
      <w:pPr>
        <w:pStyle w:val="26"/>
        <w:rPr>
          <w:rFonts w:asciiTheme="minorHAnsi" w:hAnsiTheme="minorHAnsi" w:eastAsiaTheme="minorEastAsia" w:cstheme="minorBidi"/>
          <w:szCs w:val="22"/>
        </w:rPr>
      </w:pPr>
      <w:r>
        <w:fldChar w:fldCharType="begin"/>
      </w:r>
      <w:r>
        <w:instrText xml:space="preserve"> HYPERLINK \l "_Toc203213068" </w:instrText>
      </w:r>
      <w:r>
        <w:fldChar w:fldCharType="separate"/>
      </w:r>
      <w:r>
        <w:rPr>
          <w:rStyle w:val="35"/>
          <w14:scene3d>
            <w14:lightRig w14:rig="threePt" w14:dir="t">
              <w14:rot w14:lat="0" w14:lon="0" w14:rev="0"/>
            </w14:lightRig>
          </w14:scene3d>
        </w:rPr>
        <w:t>11.3</w:t>
      </w:r>
      <w:r>
        <w:rPr>
          <w:rStyle w:val="35"/>
        </w:rPr>
        <w:t xml:space="preserve"> 测量成果</w:t>
      </w:r>
      <w:r>
        <w:tab/>
      </w:r>
      <w:r>
        <w:fldChar w:fldCharType="begin"/>
      </w:r>
      <w:r>
        <w:instrText xml:space="preserve"> PAGEREF _Toc203213068 \h </w:instrText>
      </w:r>
      <w:r>
        <w:fldChar w:fldCharType="separate"/>
      </w:r>
      <w:r>
        <w:t>25</w:t>
      </w:r>
      <w:r>
        <w:fldChar w:fldCharType="end"/>
      </w:r>
      <w:r>
        <w:fldChar w:fldCharType="end"/>
      </w:r>
    </w:p>
    <w:p w14:paraId="33A8AA51">
      <w:pPr>
        <w:pStyle w:val="21"/>
        <w:tabs>
          <w:tab w:val="right" w:leader="dot" w:pos="9344"/>
        </w:tabs>
        <w:rPr>
          <w:rFonts w:asciiTheme="minorHAnsi" w:hAnsiTheme="minorHAnsi" w:eastAsiaTheme="minorEastAsia" w:cstheme="minorBidi"/>
          <w:szCs w:val="22"/>
        </w:rPr>
      </w:pPr>
      <w:r>
        <w:fldChar w:fldCharType="begin"/>
      </w:r>
      <w:r>
        <w:instrText xml:space="preserve"> HYPERLINK \l "_Toc203213069" </w:instrText>
      </w:r>
      <w:r>
        <w:fldChar w:fldCharType="separate"/>
      </w:r>
      <w:r>
        <w:rPr>
          <w:rStyle w:val="35"/>
        </w:rPr>
        <w:t>参考文献</w:t>
      </w:r>
      <w:r>
        <w:tab/>
      </w:r>
      <w:r>
        <w:fldChar w:fldCharType="begin"/>
      </w:r>
      <w:r>
        <w:instrText xml:space="preserve"> PAGEREF _Toc203213069 \h </w:instrText>
      </w:r>
      <w:r>
        <w:fldChar w:fldCharType="separate"/>
      </w:r>
      <w:r>
        <w:t>26</w:t>
      </w:r>
      <w:r>
        <w:fldChar w:fldCharType="end"/>
      </w:r>
      <w:r>
        <w:fldChar w:fldCharType="end"/>
      </w:r>
    </w:p>
    <w:p w14:paraId="58682C06">
      <w:pPr>
        <w:pStyle w:val="95"/>
        <w:spacing w:after="360"/>
        <w:sectPr>
          <w:headerReference r:id="rId9" w:type="default"/>
          <w:footerReference r:id="rId11" w:type="default"/>
          <w:headerReference r:id="rId10"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19"/>
    <w:p w14:paraId="7FB535CB">
      <w:pPr>
        <w:spacing w:line="20" w:lineRule="exact"/>
        <w:jc w:val="center"/>
        <w:rPr>
          <w:rFonts w:ascii="黑体" w:hAnsi="黑体" w:eastAsia="黑体"/>
          <w:sz w:val="32"/>
          <w:szCs w:val="32"/>
        </w:rPr>
      </w:pPr>
      <w:bookmarkStart w:id="20" w:name="BookMark4"/>
    </w:p>
    <w:p w14:paraId="78F2470D">
      <w:pPr>
        <w:spacing w:line="20" w:lineRule="exact"/>
        <w:jc w:val="center"/>
        <w:rPr>
          <w:rFonts w:ascii="黑体" w:hAnsi="黑体" w:eastAsia="黑体"/>
          <w:sz w:val="32"/>
          <w:szCs w:val="32"/>
        </w:rPr>
      </w:pPr>
    </w:p>
    <w:sdt>
      <w:sdtPr>
        <w:tag w:val="NEW_STAND_NAME"/>
        <w:id w:val="595910757"/>
        <w:lock w:val="sdtLocked"/>
        <w:placeholder>
          <w:docPart w:val="7C5945DAF3114EF595B6E43E51EA0362"/>
        </w:placeholder>
      </w:sdtPr>
      <w:sdtContent>
        <w:p w14:paraId="7FCC3A04">
          <w:pPr>
            <w:pStyle w:val="181"/>
            <w:spacing w:before="240" w:beforeLines="100" w:after="528" w:afterLines="220"/>
          </w:pPr>
          <w:bookmarkStart w:id="21" w:name="NEW_STAND_NAME"/>
          <w:r>
            <w:rPr>
              <w:rFonts w:hint="eastAsia"/>
            </w:rPr>
            <w:t>超高层建筑施工测量规范</w:t>
          </w:r>
        </w:p>
      </w:sdtContent>
    </w:sdt>
    <w:bookmarkEnd w:id="21"/>
    <w:p w14:paraId="73DF00F9">
      <w:pPr>
        <w:pStyle w:val="108"/>
        <w:spacing w:before="240" w:after="240"/>
      </w:pPr>
      <w:bookmarkStart w:id="22" w:name="_Toc26718930"/>
      <w:bookmarkStart w:id="23" w:name="_Toc17233325"/>
      <w:bookmarkStart w:id="24" w:name="_Toc24884218"/>
      <w:bookmarkStart w:id="25" w:name="_Toc24884211"/>
      <w:bookmarkStart w:id="26" w:name="_Toc203213025"/>
      <w:bookmarkStart w:id="27" w:name="_Toc17233333"/>
      <w:bookmarkStart w:id="28" w:name="_Toc26648465"/>
      <w:bookmarkStart w:id="29" w:name="_Toc26986771"/>
      <w:bookmarkStart w:id="30" w:name="_Toc97195091"/>
      <w:bookmarkStart w:id="31" w:name="_Toc26986530"/>
      <w:r>
        <w:rPr>
          <w:rFonts w:hint="eastAsia"/>
        </w:rPr>
        <w:t>范围</w:t>
      </w:r>
      <w:bookmarkEnd w:id="22"/>
      <w:bookmarkEnd w:id="23"/>
      <w:bookmarkEnd w:id="24"/>
      <w:bookmarkEnd w:id="25"/>
      <w:bookmarkEnd w:id="26"/>
      <w:bookmarkEnd w:id="27"/>
      <w:bookmarkEnd w:id="28"/>
      <w:bookmarkEnd w:id="29"/>
      <w:bookmarkEnd w:id="30"/>
      <w:bookmarkEnd w:id="31"/>
    </w:p>
    <w:p w14:paraId="15EDA641">
      <w:pPr>
        <w:pStyle w:val="60"/>
        <w:ind w:firstLine="420"/>
      </w:pPr>
      <w:bookmarkStart w:id="32" w:name="_Toc24884212"/>
      <w:bookmarkStart w:id="33" w:name="_Toc24884219"/>
      <w:bookmarkStart w:id="34" w:name="_Toc17233326"/>
      <w:bookmarkStart w:id="35" w:name="_Toc17233334"/>
      <w:bookmarkStart w:id="36" w:name="_Toc26648466"/>
      <w:r>
        <w:rPr>
          <w:rFonts w:hint="eastAsia"/>
        </w:rPr>
        <w:t>本文件规定了超高层建筑施工测量的基本规定、平面控制测量、高程控制测量、深基坑监测、主体结构测量、机电安装和装饰测量、主体结构变形及结构健康监测、竣工测量的内容及要求。</w:t>
      </w:r>
    </w:p>
    <w:p w14:paraId="4B227BB3">
      <w:pPr>
        <w:pStyle w:val="60"/>
        <w:ind w:firstLine="420"/>
        <w:rPr>
          <w:color w:val="FF0000"/>
        </w:rPr>
      </w:pPr>
      <w:r>
        <w:rPr>
          <w:rFonts w:hint="eastAsia"/>
        </w:rPr>
        <w:t>本文件适用于超高层建筑的施工测量工作。</w:t>
      </w:r>
    </w:p>
    <w:p w14:paraId="5A4C06C8">
      <w:pPr>
        <w:pStyle w:val="108"/>
        <w:spacing w:before="240" w:after="240"/>
      </w:pPr>
      <w:bookmarkStart w:id="37" w:name="_Toc97195092"/>
      <w:bookmarkStart w:id="38" w:name="_Toc26986772"/>
      <w:bookmarkStart w:id="39" w:name="_Toc203213026"/>
      <w:bookmarkStart w:id="40" w:name="_Toc26986531"/>
      <w:bookmarkStart w:id="41" w:name="_Toc26718931"/>
      <w:r>
        <w:rPr>
          <w:rFonts w:hint="eastAsia"/>
        </w:rPr>
        <w:t>规范性引用文件</w:t>
      </w:r>
      <w:bookmarkEnd w:id="32"/>
      <w:bookmarkEnd w:id="33"/>
      <w:bookmarkEnd w:id="34"/>
      <w:bookmarkEnd w:id="35"/>
      <w:bookmarkEnd w:id="36"/>
      <w:bookmarkEnd w:id="37"/>
      <w:bookmarkEnd w:id="38"/>
      <w:bookmarkEnd w:id="39"/>
      <w:bookmarkEnd w:id="40"/>
      <w:bookmarkEnd w:id="41"/>
    </w:p>
    <w:sdt>
      <w:sdtPr>
        <w:rPr>
          <w:rFonts w:hint="eastAsia"/>
        </w:rPr>
        <w:id w:val="715848253"/>
        <w:placeholder>
          <w:docPart w:val="0AC448888E034AA1899E80FBC8DD7A1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75649FE">
          <w:pPr>
            <w:pStyle w:val="6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CD3BA25">
      <w:pPr>
        <w:pStyle w:val="60"/>
        <w:ind w:firstLine="420"/>
      </w:pPr>
      <w:r>
        <w:rPr>
          <w:rFonts w:hint="eastAsia"/>
        </w:rPr>
        <w:t xml:space="preserve">GB 50026   </w:t>
      </w:r>
      <w:r>
        <w:t xml:space="preserve"> </w:t>
      </w:r>
      <w:r>
        <w:rPr>
          <w:rFonts w:hint="eastAsia"/>
        </w:rPr>
        <w:t>工程测量标准</w:t>
      </w:r>
    </w:p>
    <w:p w14:paraId="25A65491">
      <w:pPr>
        <w:pStyle w:val="60"/>
        <w:ind w:firstLine="420"/>
      </w:pPr>
      <w:r>
        <w:t xml:space="preserve">GB/T 24356  </w:t>
      </w:r>
      <w:r>
        <w:rPr>
          <w:rFonts w:hint="eastAsia"/>
        </w:rPr>
        <w:t>测绘成果质量检查与验收</w:t>
      </w:r>
    </w:p>
    <w:p w14:paraId="0CC2959F">
      <w:pPr>
        <w:pStyle w:val="60"/>
        <w:ind w:firstLine="420"/>
      </w:pPr>
      <w:r>
        <w:rPr>
          <w:rFonts w:hint="eastAsia"/>
        </w:rPr>
        <w:t>GB/T</w:t>
      </w:r>
      <w:r>
        <w:t xml:space="preserve"> </w:t>
      </w:r>
      <w:r>
        <w:rPr>
          <w:rFonts w:hint="eastAsia"/>
        </w:rPr>
        <w:t>50103  总图制图标准</w:t>
      </w:r>
    </w:p>
    <w:p w14:paraId="5744DE3E">
      <w:pPr>
        <w:pStyle w:val="60"/>
        <w:ind w:firstLine="420"/>
      </w:pPr>
      <w:r>
        <w:rPr>
          <w:rFonts w:hint="eastAsia" w:hAnsi="宋体"/>
        </w:rPr>
        <w:t xml:space="preserve">CJJ/T 8  </w:t>
      </w:r>
      <w:r>
        <w:rPr>
          <w:rFonts w:hAnsi="宋体"/>
        </w:rPr>
        <w:t xml:space="preserve">   </w:t>
      </w:r>
      <w:r>
        <w:rPr>
          <w:rFonts w:hint="eastAsia" w:hAnsi="宋体"/>
        </w:rPr>
        <w:t>城市测量规范</w:t>
      </w:r>
    </w:p>
    <w:p w14:paraId="11931575">
      <w:pPr>
        <w:pStyle w:val="60"/>
        <w:ind w:firstLine="420"/>
      </w:pPr>
      <w:r>
        <w:rPr>
          <w:rFonts w:hint="eastAsia"/>
        </w:rPr>
        <w:t xml:space="preserve">JGJ 8     </w:t>
      </w:r>
      <w:r>
        <w:t xml:space="preserve"> </w:t>
      </w:r>
      <w:r>
        <w:rPr>
          <w:rFonts w:hint="eastAsia"/>
        </w:rPr>
        <w:t xml:space="preserve"> 建筑变形测量规范</w:t>
      </w:r>
    </w:p>
    <w:p w14:paraId="1463D1FE">
      <w:pPr>
        <w:pStyle w:val="108"/>
        <w:spacing w:before="240" w:after="240"/>
      </w:pPr>
      <w:bookmarkStart w:id="42" w:name="_Toc203213027"/>
      <w:bookmarkStart w:id="43" w:name="_Toc97195093"/>
      <w:r>
        <w:rPr>
          <w:rFonts w:hint="eastAsia"/>
          <w:szCs w:val="21"/>
        </w:rPr>
        <w:t>术语和定义</w:t>
      </w:r>
      <w:bookmarkEnd w:id="42"/>
      <w:bookmarkEnd w:id="43"/>
    </w:p>
    <w:sdt>
      <w:sdtPr>
        <w:id w:val="-1909835108"/>
        <w:placeholder>
          <w:docPart w:val="48C2B21763EC4CE0BD53B329C4FF7AF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5FCA27E">
          <w:pPr>
            <w:pStyle w:val="60"/>
            <w:ind w:firstLine="420"/>
          </w:pPr>
          <w:bookmarkStart w:id="44" w:name="_Toc26986532"/>
          <w:bookmarkEnd w:id="44"/>
          <w:r>
            <w:t>下列术语和定义适用于本文件。</w:t>
          </w:r>
        </w:p>
      </w:sdtContent>
    </w:sdt>
    <w:p w14:paraId="442A9E30">
      <w:pPr>
        <w:pStyle w:val="234"/>
        <w:spacing w:before="120" w:beforeLines="50" w:after="120" w:afterLines="50"/>
        <w:ind w:firstLine="0" w:firstLineChars="0"/>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3.1</w:t>
      </w:r>
    </w:p>
    <w:p w14:paraId="7C731E23">
      <w:pPr>
        <w:pStyle w:val="234"/>
        <w:spacing w:before="120" w:beforeLines="50" w:after="120" w:afterLines="50" w:line="360" w:lineRule="auto"/>
        <w:ind w:firstLine="420"/>
        <w:rPr>
          <w:rFonts w:ascii="黑体" w:hAnsi="黑体" w:eastAsia="黑体"/>
          <w:color w:val="000000" w:themeColor="text1"/>
          <w14:textFill>
            <w14:solidFill>
              <w14:schemeClr w14:val="tx1"/>
            </w14:solidFill>
          </w14:textFill>
        </w:rPr>
      </w:pPr>
      <w:bookmarkStart w:id="45" w:name="_Toc16703804"/>
      <w:bookmarkEnd w:id="45"/>
      <w:r>
        <w:rPr>
          <w:rFonts w:hint="eastAsia" w:ascii="黑体" w:hAnsi="黑体" w:eastAsia="黑体"/>
          <w:color w:val="000000" w:themeColor="text1"/>
          <w14:textFill>
            <w14:solidFill>
              <w14:schemeClr w14:val="tx1"/>
            </w14:solidFill>
          </w14:textFill>
        </w:rPr>
        <w:t xml:space="preserve">超高层建筑  </w:t>
      </w:r>
      <w:r>
        <w:rPr>
          <w:rFonts w:ascii="黑体" w:hAnsi="黑体" w:eastAsia="黑体"/>
          <w:color w:val="000000" w:themeColor="text1"/>
          <w14:textFill>
            <w14:solidFill>
              <w14:schemeClr w14:val="tx1"/>
            </w14:solidFill>
          </w14:textFill>
        </w:rPr>
        <w:t>super high rise</w:t>
      </w:r>
      <w:r>
        <w:t xml:space="preserve"> </w:t>
      </w:r>
      <w:r>
        <w:rPr>
          <w:rFonts w:ascii="黑体" w:hAnsi="黑体" w:eastAsia="黑体"/>
          <w:color w:val="000000" w:themeColor="text1"/>
          <w14:textFill>
            <w14:solidFill>
              <w14:schemeClr w14:val="tx1"/>
            </w14:solidFill>
          </w14:textFill>
        </w:rPr>
        <w:t>building</w:t>
      </w:r>
    </w:p>
    <w:p w14:paraId="3FBFAED7">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建筑高度大于100m的民用</w:t>
      </w:r>
      <w:r>
        <w:rPr>
          <w:color w:val="000000" w:themeColor="text1"/>
          <w14:textFill>
            <w14:solidFill>
              <w14:schemeClr w14:val="tx1"/>
            </w14:solidFill>
          </w14:textFill>
        </w:rPr>
        <w:t>建筑</w:t>
      </w:r>
      <w:r>
        <w:rPr>
          <w:rFonts w:hint="eastAsia"/>
          <w:color w:val="000000" w:themeColor="text1"/>
          <w14:textFill>
            <w14:solidFill>
              <w14:schemeClr w14:val="tx1"/>
            </w14:solidFill>
          </w14:textFill>
        </w:rPr>
        <w:t>。</w:t>
      </w:r>
    </w:p>
    <w:p w14:paraId="65DB9B55">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[来源</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GB 50352-2019,</w:t>
      </w:r>
      <w:r>
        <w:rPr>
          <w:color w:val="000000" w:themeColor="text1"/>
          <w14:textFill>
            <w14:solidFill>
              <w14:schemeClr w14:val="tx1"/>
            </w14:solidFill>
          </w14:textFill>
        </w:rPr>
        <w:t>3.1]</w:t>
      </w:r>
    </w:p>
    <w:p w14:paraId="1584AB3A">
      <w:pPr>
        <w:pStyle w:val="234"/>
        <w:spacing w:before="120" w:beforeLines="50" w:after="120" w:afterLines="50"/>
        <w:ind w:firstLine="0"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2</w:t>
      </w:r>
    </w:p>
    <w:p w14:paraId="6FC91490">
      <w:pPr>
        <w:pStyle w:val="234"/>
        <w:spacing w:before="120" w:beforeLines="50" w:after="120" w:afterLines="50"/>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跨数 n</w:t>
      </w:r>
      <w:r>
        <w:rPr>
          <w:rFonts w:ascii="黑体" w:hAnsi="黑体" w:eastAsia="黑体"/>
          <w:color w:val="000000" w:themeColor="text1"/>
          <w14:textFill>
            <w14:solidFill>
              <w14:schemeClr w14:val="tx1"/>
            </w14:solidFill>
          </w14:textFill>
        </w:rPr>
        <w:t>umber of spans</w:t>
      </w:r>
    </w:p>
    <w:p w14:paraId="6A44B1F3">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指梁、板等水平构件在相邻支座、柱之间的区段数量。</w:t>
      </w:r>
    </w:p>
    <w:p w14:paraId="23AE5956">
      <w:pPr>
        <w:pStyle w:val="234"/>
        <w:spacing w:before="120" w:beforeLines="50" w:after="120" w:afterLines="50"/>
        <w:ind w:firstLine="0"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3</w:t>
      </w:r>
    </w:p>
    <w:p w14:paraId="1C954AB7">
      <w:pPr>
        <w:pStyle w:val="234"/>
        <w:spacing w:before="120" w:beforeLines="50" w:after="120" w:afterLines="50"/>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内控法 </w:t>
      </w:r>
      <w:r>
        <w:rPr>
          <w:rFonts w:ascii="黑体" w:hAnsi="黑体" w:eastAsia="黑体"/>
          <w:color w:val="000000" w:themeColor="text1"/>
          <w14:textFill>
            <w14:solidFill>
              <w14:schemeClr w14:val="tx1"/>
            </w14:solidFill>
          </w14:textFill>
        </w:rPr>
        <w:t>Internal control law</w:t>
      </w:r>
    </w:p>
    <w:p w14:paraId="2DC53EEE">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指在建筑物内部设置测量控制点，通过各楼层预留的孔洞将其垂直投测至施工层，进行施工放样和垂直度控制的方法。</w:t>
      </w:r>
    </w:p>
    <w:p w14:paraId="54553429">
      <w:pPr>
        <w:pStyle w:val="234"/>
        <w:spacing w:before="120" w:beforeLines="50" w:after="120" w:afterLines="50"/>
        <w:ind w:firstLine="0" w:firstLineChars="0"/>
        <w:rPr>
          <w:rFonts w:ascii="黑体" w:hAnsi="黑体" w:eastAsia="黑体"/>
          <w:color w:val="000000" w:themeColor="text1"/>
          <w:highlight w:val="yellow"/>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4</w:t>
      </w:r>
    </w:p>
    <w:p w14:paraId="3EEBA930">
      <w:pPr>
        <w:pStyle w:val="234"/>
        <w:spacing w:before="120" w:beforeLines="50" w:after="120" w:afterLines="50" w:line="360" w:lineRule="auto"/>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深基坑 </w:t>
      </w:r>
      <w:r>
        <w:rPr>
          <w:rFonts w:ascii="黑体" w:hAnsi="黑体" w:eastAsia="黑体"/>
          <w:color w:val="000000" w:themeColor="text1"/>
          <w14:textFill>
            <w14:solidFill>
              <w14:schemeClr w14:val="tx1"/>
            </w14:solidFill>
          </w14:textFill>
        </w:rPr>
        <w:t>deep excavation</w:t>
      </w:r>
    </w:p>
    <w:p w14:paraId="6C9846C1">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为进行建(构)筑物地下部分施工及地下设施、设备埋设，由地面向下开挖，深度大于或等于5m 的空间。</w:t>
      </w:r>
    </w:p>
    <w:p w14:paraId="34CF0DE6">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[来源：</w:t>
      </w:r>
      <w:r>
        <w:rPr>
          <w:color w:val="000000" w:themeColor="text1"/>
          <w14:textFill>
            <w14:solidFill>
              <w14:schemeClr w14:val="tx1"/>
            </w14:solidFill>
          </w14:textFill>
        </w:rPr>
        <w:t>JGJ 311</w:t>
      </w:r>
      <w:r>
        <w:rPr>
          <w:rFonts w:hint="eastAsia"/>
          <w:color w:val="000000" w:themeColor="text1"/>
          <w14:textFill>
            <w14:solidFill>
              <w14:schemeClr w14:val="tx1"/>
            </w14:solidFill>
          </w14:textFill>
        </w:rPr>
        <w:t>-201</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.1]</w:t>
      </w:r>
    </w:p>
    <w:p w14:paraId="15564455">
      <w:pPr>
        <w:pStyle w:val="234"/>
        <w:spacing w:before="120" w:beforeLines="50" w:after="120" w:afterLines="50"/>
        <w:ind w:firstLine="0"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5</w:t>
      </w:r>
    </w:p>
    <w:p w14:paraId="43A0505D">
      <w:pPr>
        <w:pStyle w:val="234"/>
        <w:spacing w:before="120" w:beforeLines="50" w:after="120" w:afterLines="50"/>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归心测量 e</w:t>
      </w:r>
      <w:r>
        <w:rPr>
          <w:rFonts w:ascii="黑体" w:hAnsi="黑体" w:eastAsia="黑体"/>
          <w:color w:val="000000" w:themeColor="text1"/>
          <w14:textFill>
            <w14:solidFill>
              <w14:schemeClr w14:val="tx1"/>
            </w14:solidFill>
          </w14:textFill>
        </w:rPr>
        <w:t xml:space="preserve">ccentric </w:t>
      </w:r>
      <w:r>
        <w:rPr>
          <w:rFonts w:hint="eastAsia" w:ascii="黑体" w:hAnsi="黑体" w:eastAsia="黑体"/>
          <w:color w:val="000000" w:themeColor="text1"/>
          <w14:textFill>
            <w14:solidFill>
              <w14:schemeClr w14:val="tx1"/>
            </w14:solidFill>
          </w14:textFill>
        </w:rPr>
        <w:t>o</w:t>
      </w:r>
      <w:r>
        <w:rPr>
          <w:rFonts w:ascii="黑体" w:hAnsi="黑体" w:eastAsia="黑体"/>
          <w:color w:val="000000" w:themeColor="text1"/>
          <w14:textFill>
            <w14:solidFill>
              <w14:schemeClr w14:val="tx1"/>
            </w14:solidFill>
          </w14:textFill>
        </w:rPr>
        <w:t xml:space="preserve">bservation </w:t>
      </w:r>
      <w:r>
        <w:rPr>
          <w:rFonts w:hint="eastAsia" w:ascii="黑体" w:hAnsi="黑体" w:eastAsia="黑体"/>
          <w:color w:val="000000" w:themeColor="text1"/>
          <w14:textFill>
            <w14:solidFill>
              <w14:schemeClr w14:val="tx1"/>
            </w14:solidFill>
          </w14:textFill>
        </w:rPr>
        <w:t>c</w:t>
      </w:r>
      <w:r>
        <w:rPr>
          <w:rFonts w:ascii="黑体" w:hAnsi="黑体" w:eastAsia="黑体"/>
          <w:color w:val="000000" w:themeColor="text1"/>
          <w14:textFill>
            <w14:solidFill>
              <w14:schemeClr w14:val="tx1"/>
            </w14:solidFill>
          </w14:textFill>
        </w:rPr>
        <w:t>orrection</w:t>
      </w:r>
    </w:p>
    <w:p w14:paraId="448CA54C">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指通过高精度仪器测定建筑物控制点与标石中心或设计坐标系的偏差，并将观测数据统一归算至设计基准的技术过程。</w:t>
      </w:r>
    </w:p>
    <w:p w14:paraId="60C9D143">
      <w:pPr>
        <w:pStyle w:val="234"/>
        <w:spacing w:before="120" w:beforeLines="50" w:after="120" w:afterLines="50"/>
        <w:ind w:firstLine="0"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6</w:t>
      </w:r>
    </w:p>
    <w:p w14:paraId="085A68F5">
      <w:pPr>
        <w:pStyle w:val="234"/>
        <w:spacing w:before="120" w:beforeLines="50" w:after="120" w:afterLines="50"/>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压缩变形 c</w:t>
      </w:r>
      <w:r>
        <w:rPr>
          <w:rFonts w:ascii="黑体" w:hAnsi="黑体" w:eastAsia="黑体"/>
          <w:color w:val="000000" w:themeColor="text1"/>
          <w14:textFill>
            <w14:solidFill>
              <w14:schemeClr w14:val="tx1"/>
            </w14:solidFill>
          </w14:textFill>
        </w:rPr>
        <w:t>ompression deformation</w:t>
      </w:r>
    </w:p>
    <w:p w14:paraId="62DA57BD">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指在荷载作用下，构件在轴向压力作用下沿轴线方向发生的缩短现象。</w:t>
      </w:r>
    </w:p>
    <w:p w14:paraId="54E4F15E">
      <w:pPr>
        <w:pStyle w:val="234"/>
        <w:spacing w:before="120" w:beforeLines="50" w:after="120" w:afterLines="50"/>
        <w:ind w:firstLine="0"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ascii="黑体" w:hAnsi="黑体" w:eastAsia="黑体"/>
          <w:color w:val="000000" w:themeColor="text1"/>
          <w14:textFill>
            <w14:solidFill>
              <w14:schemeClr w14:val="tx1"/>
            </w14:solidFill>
          </w14:textFill>
        </w:rPr>
        <w:t>7</w:t>
      </w:r>
    </w:p>
    <w:p w14:paraId="1E06B4B5">
      <w:pPr>
        <w:pStyle w:val="234"/>
        <w:spacing w:before="120" w:beforeLines="50" w:after="120" w:afterLines="50"/>
        <w:ind w:firstLine="4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结构健康</w:t>
      </w:r>
      <w:r>
        <w:rPr>
          <w:rFonts w:ascii="黑体" w:hAnsi="黑体" w:eastAsia="黑体"/>
          <w:color w:val="000000" w:themeColor="text1"/>
          <w14:textFill>
            <w14:solidFill>
              <w14:schemeClr w14:val="tx1"/>
            </w14:solidFill>
          </w14:textFill>
        </w:rPr>
        <w:t>监测</w:t>
      </w:r>
      <w:r>
        <w:rPr>
          <w:rFonts w:hint="eastAsia" w:ascii="黑体" w:hAnsi="黑体" w:eastAsia="黑体"/>
          <w:color w:val="000000" w:themeColor="text1"/>
          <w14:textFill>
            <w14:solidFill>
              <w14:schemeClr w14:val="tx1"/>
            </w14:solidFill>
          </w14:textFill>
        </w:rPr>
        <w:t xml:space="preserve">  </w:t>
      </w:r>
      <w:r>
        <w:rPr>
          <w:rFonts w:ascii="黑体" w:hAnsi="黑体" w:eastAsia="黑体"/>
          <w:color w:val="000000" w:themeColor="text1"/>
          <w14:textFill>
            <w14:solidFill>
              <w14:schemeClr w14:val="tx1"/>
            </w14:solidFill>
          </w14:textFill>
        </w:rPr>
        <w:t>structural health monitoring</w:t>
      </w:r>
    </w:p>
    <w:p w14:paraId="11532700">
      <w:pPr>
        <w:pStyle w:val="234"/>
        <w:spacing w:before="50" w:after="50" w:line="360" w:lineRule="auto"/>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利用自动化</w:t>
      </w:r>
      <w:r>
        <w:rPr>
          <w:color w:val="000000" w:themeColor="text1"/>
          <w14:textFill>
            <w14:solidFill>
              <w14:schemeClr w14:val="tx1"/>
            </w14:solidFill>
          </w14:textFill>
        </w:rPr>
        <w:t>监测</w:t>
      </w:r>
      <w:r>
        <w:rPr>
          <w:rFonts w:hint="eastAsia"/>
          <w:color w:val="000000" w:themeColor="text1"/>
          <w14:textFill>
            <w14:solidFill>
              <w14:schemeClr w14:val="tx1"/>
            </w14:solidFill>
          </w14:textFill>
        </w:rPr>
        <w:t>系统</w:t>
      </w:r>
      <w:r>
        <w:rPr>
          <w:color w:val="000000" w:themeColor="text1"/>
          <w14:textFill>
            <w14:solidFill>
              <w14:schemeClr w14:val="tx1"/>
            </w14:solidFill>
          </w14:textFill>
        </w:rPr>
        <w:t>实时获取结构的几何及应力、应变等</w:t>
      </w:r>
      <w:r>
        <w:rPr>
          <w:rFonts w:hint="eastAsia"/>
          <w:color w:val="000000" w:themeColor="text1"/>
          <w14:textFill>
            <w14:solidFill>
              <w14:schemeClr w14:val="tx1"/>
            </w14:solidFill>
          </w14:textFill>
        </w:rPr>
        <w:t>特征</w:t>
      </w:r>
      <w:r>
        <w:rPr>
          <w:color w:val="000000" w:themeColor="text1"/>
          <w14:textFill>
            <w14:solidFill>
              <w14:schemeClr w14:val="tx1"/>
            </w14:solidFill>
          </w14:textFill>
        </w:rPr>
        <w:t>信息，进而分析和识别</w:t>
      </w:r>
      <w:r>
        <w:rPr>
          <w:rFonts w:hint="eastAsia"/>
          <w:color w:val="000000" w:themeColor="text1"/>
          <w14:textFill>
            <w14:solidFill>
              <w14:schemeClr w14:val="tx1"/>
            </w14:solidFill>
          </w14:textFill>
        </w:rPr>
        <w:t>结构</w:t>
      </w:r>
      <w:r>
        <w:rPr>
          <w:color w:val="000000" w:themeColor="text1"/>
          <w14:textFill>
            <w14:solidFill>
              <w14:schemeClr w14:val="tx1"/>
            </w14:solidFill>
          </w14:textFill>
        </w:rPr>
        <w:t>健康</w:t>
      </w:r>
      <w:r>
        <w:rPr>
          <w:rFonts w:hint="eastAsia"/>
          <w:color w:val="000000" w:themeColor="text1"/>
          <w14:textFill>
            <w14:solidFill>
              <w14:schemeClr w14:val="tx1"/>
            </w14:solidFill>
          </w14:textFill>
        </w:rPr>
        <w:t>状况</w:t>
      </w:r>
      <w:r>
        <w:rPr>
          <w:color w:val="000000" w:themeColor="text1"/>
          <w14:textFill>
            <w14:solidFill>
              <w14:schemeClr w14:val="tx1"/>
            </w14:solidFill>
          </w14:textFill>
        </w:rPr>
        <w:t>的工作</w:t>
      </w:r>
      <w:r>
        <w:rPr>
          <w:rFonts w:hint="eastAsia"/>
          <w:color w:val="000000" w:themeColor="text1"/>
          <w14:textFill>
            <w14:solidFill>
              <w14:schemeClr w14:val="tx1"/>
            </w14:solidFill>
          </w14:textFill>
        </w:rPr>
        <w:t>。</w:t>
      </w:r>
    </w:p>
    <w:p w14:paraId="385DC953">
      <w:pPr>
        <w:pStyle w:val="60"/>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[来源：JGJ 8-2016，2.1.20</w:t>
      </w:r>
      <w:r>
        <w:rPr>
          <w:color w:val="000000" w:themeColor="text1"/>
          <w14:textFill>
            <w14:solidFill>
              <w14:schemeClr w14:val="tx1"/>
            </w14:solidFill>
          </w14:textFill>
        </w:rPr>
        <w:t>]</w:t>
      </w:r>
    </w:p>
    <w:p w14:paraId="1250482C">
      <w:pPr>
        <w:pStyle w:val="108"/>
        <w:spacing w:before="240" w:after="240"/>
      </w:pPr>
      <w:bookmarkStart w:id="46" w:name="_Toc203213028"/>
      <w:r>
        <w:rPr>
          <w:rFonts w:hint="eastAsia"/>
        </w:rPr>
        <w:t>基本规定</w:t>
      </w:r>
      <w:bookmarkEnd w:id="46"/>
    </w:p>
    <w:p w14:paraId="56C89A94">
      <w:pPr>
        <w:pStyle w:val="109"/>
        <w:spacing w:before="120" w:after="120"/>
        <w:ind w:left="0"/>
        <w:rPr>
          <w:rFonts w:hAnsi="黑体"/>
          <w:color w:val="000000" w:themeColor="text1"/>
          <w14:textFill>
            <w14:solidFill>
              <w14:schemeClr w14:val="tx1"/>
            </w14:solidFill>
          </w14:textFill>
        </w:rPr>
      </w:pPr>
      <w:bookmarkStart w:id="47" w:name="_Toc203213029"/>
      <w:r>
        <w:rPr>
          <w:rFonts w:hint="eastAsia" w:hAnsi="黑体"/>
          <w:color w:val="000000" w:themeColor="text1"/>
          <w14:textFill>
            <w14:solidFill>
              <w14:schemeClr w14:val="tx1"/>
            </w14:solidFill>
          </w14:textFill>
        </w:rPr>
        <w:t>一般</w:t>
      </w:r>
      <w:r>
        <w:rPr>
          <w:rFonts w:hAnsi="黑体"/>
          <w:color w:val="000000" w:themeColor="text1"/>
          <w14:textFill>
            <w14:solidFill>
              <w14:schemeClr w14:val="tx1"/>
            </w14:solidFill>
          </w14:textFill>
        </w:rPr>
        <w:t>规定</w:t>
      </w:r>
      <w:bookmarkEnd w:id="47"/>
    </w:p>
    <w:p w14:paraId="1EE15CE7">
      <w:pPr>
        <w:pStyle w:val="69"/>
        <w:spacing w:before="120" w:after="120"/>
        <w:ind w:left="0"/>
        <w:rPr>
          <w:rFonts w:ascii="宋体" w:hAnsi="宋体" w:eastAsia="宋体"/>
        </w:rPr>
      </w:pPr>
      <w:r>
        <w:rPr>
          <w:rFonts w:hint="eastAsia" w:ascii="宋体" w:hAnsi="宋体" w:eastAsia="宋体"/>
        </w:rPr>
        <w:t>超高层建筑施工测量的坐标系统和高程系统应与该建筑的建设工程规划许可文件中的坐标系统和高程系统一致。</w:t>
      </w:r>
    </w:p>
    <w:p w14:paraId="2DDC0E73">
      <w:pPr>
        <w:pStyle w:val="69"/>
        <w:spacing w:before="120" w:after="120"/>
        <w:ind w:left="0"/>
        <w:rPr>
          <w:rFonts w:ascii="宋体" w:hAnsi="宋体" w:eastAsia="宋体"/>
        </w:rPr>
      </w:pPr>
      <w:r>
        <w:rPr>
          <w:rFonts w:hint="eastAsia" w:ascii="宋体" w:hAnsi="宋体" w:eastAsia="宋体"/>
        </w:rPr>
        <w:t>超高层建筑施工测量的时间应采用公元纪年、北京时间。</w:t>
      </w:r>
    </w:p>
    <w:p w14:paraId="346BDD09">
      <w:pPr>
        <w:pStyle w:val="69"/>
        <w:spacing w:before="120" w:after="120"/>
        <w:ind w:left="0"/>
        <w:rPr>
          <w:rFonts w:ascii="宋体" w:hAnsi="宋体" w:eastAsia="宋体"/>
        </w:rPr>
      </w:pPr>
      <w:r>
        <w:rPr>
          <w:rFonts w:hint="eastAsia" w:ascii="宋体" w:hAnsi="宋体" w:eastAsia="宋体"/>
        </w:rPr>
        <w:t>超高层建筑施工测量应以中误差作为衡量测量精度的标准，以二倍中误差为极限误差。</w:t>
      </w:r>
    </w:p>
    <w:p w14:paraId="2107A745">
      <w:pPr>
        <w:pStyle w:val="69"/>
        <w:spacing w:before="120" w:after="120"/>
        <w:ind w:left="0"/>
        <w:rPr>
          <w:rFonts w:ascii="宋体" w:hAnsi="宋体" w:eastAsia="宋体"/>
        </w:rPr>
      </w:pPr>
      <w:r>
        <w:rPr>
          <w:rFonts w:hint="eastAsia" w:ascii="宋体" w:hAnsi="宋体" w:eastAsia="宋体"/>
        </w:rPr>
        <w:t>测量人员的技术能力应能满足超高层建筑施工测量的要求。</w:t>
      </w:r>
    </w:p>
    <w:p w14:paraId="7C1DC986">
      <w:pPr>
        <w:pStyle w:val="69"/>
        <w:spacing w:before="120" w:after="120"/>
        <w:ind w:left="0"/>
        <w:rPr>
          <w:rFonts w:ascii="宋体" w:hAnsi="宋体" w:eastAsia="宋体"/>
        </w:rPr>
      </w:pPr>
      <w:r>
        <w:rPr>
          <w:rFonts w:hint="eastAsia" w:ascii="宋体" w:hAnsi="宋体" w:eastAsia="宋体"/>
        </w:rPr>
        <w:t>测量仪器和量具应满足超高层建筑施工测量的要求，并按照有关规定进行检定或校准后在有效期内使用。</w:t>
      </w:r>
    </w:p>
    <w:p w14:paraId="24447E86">
      <w:pPr>
        <w:pStyle w:val="69"/>
        <w:spacing w:before="120" w:after="120"/>
        <w:ind w:left="0"/>
        <w:rPr>
          <w:rFonts w:ascii="宋体" w:hAnsi="宋体" w:eastAsia="宋体"/>
        </w:rPr>
      </w:pPr>
      <w:r>
        <w:rPr>
          <w:rFonts w:hint="eastAsia" w:ascii="宋体" w:hAnsi="宋体" w:eastAsia="宋体"/>
        </w:rPr>
        <w:t>测量软件应通过测评或验证。</w:t>
      </w:r>
    </w:p>
    <w:p w14:paraId="7205E6CE">
      <w:pPr>
        <w:pStyle w:val="69"/>
        <w:spacing w:before="120" w:after="120"/>
        <w:ind w:left="0"/>
        <w:rPr>
          <w:rFonts w:ascii="宋体" w:hAnsi="宋体" w:eastAsia="宋体"/>
        </w:rPr>
      </w:pPr>
      <w:r>
        <w:rPr>
          <w:rFonts w:hint="eastAsia" w:ascii="宋体" w:hAnsi="宋体" w:eastAsia="宋体"/>
        </w:rPr>
        <w:t>超高层建筑施工测量前应考虑周边环境的影响，做好施工安全、地质灾害等方面的风险评估工作。</w:t>
      </w:r>
    </w:p>
    <w:p w14:paraId="044538D1">
      <w:pPr>
        <w:pStyle w:val="69"/>
        <w:spacing w:before="120" w:after="120"/>
        <w:ind w:left="0"/>
        <w:rPr>
          <w:rFonts w:ascii="宋体" w:hAnsi="宋体" w:eastAsia="宋体"/>
        </w:rPr>
      </w:pPr>
      <w:r>
        <w:rPr>
          <w:rFonts w:hint="eastAsia" w:ascii="宋体" w:hAnsi="宋体" w:eastAsia="宋体"/>
        </w:rPr>
        <w:t>超高层建筑施工测量鼓励采用新技术、新方法和新仪器设备。</w:t>
      </w:r>
    </w:p>
    <w:p w14:paraId="2012B511">
      <w:pPr>
        <w:pStyle w:val="69"/>
        <w:spacing w:before="120" w:after="120"/>
        <w:ind w:left="0"/>
        <w:rPr>
          <w:rFonts w:ascii="宋体" w:hAnsi="宋体" w:eastAsia="宋体"/>
        </w:rPr>
      </w:pPr>
      <w:r>
        <w:rPr>
          <w:rFonts w:hint="eastAsia" w:ascii="宋体" w:hAnsi="宋体" w:eastAsia="宋体"/>
        </w:rPr>
        <w:t>超高层建筑施工测量除应符合本文件外，尚应符合国家现行有关标准的规定。</w:t>
      </w:r>
    </w:p>
    <w:p w14:paraId="6087F537">
      <w:pPr>
        <w:pStyle w:val="109"/>
        <w:spacing w:before="120" w:after="120"/>
        <w:ind w:left="0"/>
        <w:rPr>
          <w:rFonts w:hAnsi="黑体"/>
          <w:color w:val="000000" w:themeColor="text1"/>
          <w14:textFill>
            <w14:solidFill>
              <w14:schemeClr w14:val="tx1"/>
            </w14:solidFill>
          </w14:textFill>
        </w:rPr>
      </w:pPr>
      <w:bookmarkStart w:id="48" w:name="_Toc203213030"/>
      <w:r>
        <w:rPr>
          <w:rFonts w:hint="eastAsia" w:hAnsi="黑体"/>
          <w:color w:val="000000" w:themeColor="text1"/>
          <w14:textFill>
            <w14:solidFill>
              <w14:schemeClr w14:val="tx1"/>
            </w14:solidFill>
          </w14:textFill>
        </w:rPr>
        <w:t>技术准备</w:t>
      </w:r>
      <w:bookmarkEnd w:id="48"/>
    </w:p>
    <w:p w14:paraId="0A99F6DC">
      <w:pPr>
        <w:pStyle w:val="69"/>
        <w:spacing w:before="120" w:after="120"/>
        <w:ind w:left="0"/>
        <w:rPr>
          <w:rFonts w:ascii="宋体" w:hAnsi="宋体" w:eastAsia="宋体"/>
        </w:rPr>
      </w:pPr>
      <w:r>
        <w:rPr>
          <w:rFonts w:hint="eastAsia" w:ascii="宋体" w:hAnsi="宋体" w:eastAsia="宋体"/>
        </w:rPr>
        <w:t>施工测量前应根据工程任务的要求，收集和分析拟建超高层建筑物的有关施工资料，包括：</w:t>
      </w:r>
    </w:p>
    <w:p w14:paraId="3EA093DE">
      <w:pPr>
        <w:numPr>
          <w:ilvl w:val="0"/>
          <w:numId w:val="33"/>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前期测绘成果资料；</w:t>
      </w:r>
    </w:p>
    <w:p w14:paraId="74B91E39">
      <w:pPr>
        <w:numPr>
          <w:ilvl w:val="0"/>
          <w:numId w:val="33"/>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工程勘察报告；</w:t>
      </w:r>
    </w:p>
    <w:p w14:paraId="4B55E92A">
      <w:pPr>
        <w:numPr>
          <w:ilvl w:val="0"/>
          <w:numId w:val="33"/>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规划、设计和施工图纸与有关变更文件；</w:t>
      </w:r>
    </w:p>
    <w:p w14:paraId="34826BB9">
      <w:pPr>
        <w:numPr>
          <w:ilvl w:val="0"/>
          <w:numId w:val="33"/>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施工组织设计或施工方案；</w:t>
      </w:r>
    </w:p>
    <w:p w14:paraId="2B0855EE">
      <w:pPr>
        <w:numPr>
          <w:ilvl w:val="0"/>
          <w:numId w:val="33"/>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施工场区地下管线及地下障碍物、毗邻建构筑物等资料。</w:t>
      </w:r>
    </w:p>
    <w:p w14:paraId="05B1A775">
      <w:pPr>
        <w:pStyle w:val="69"/>
        <w:spacing w:before="120" w:after="120"/>
        <w:ind w:left="0"/>
        <w:rPr>
          <w:rFonts w:ascii="宋体" w:hAnsi="宋体" w:eastAsia="宋体"/>
        </w:rPr>
      </w:pPr>
      <w:r>
        <w:rPr>
          <w:rFonts w:hint="eastAsia" w:ascii="宋体" w:hAnsi="宋体" w:eastAsia="宋体"/>
        </w:rPr>
        <w:t>施工测量方案宜包括下列内容：</w:t>
      </w:r>
    </w:p>
    <w:p w14:paraId="21109A88">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工程概况、施工测量工作内容或任务要求；</w:t>
      </w:r>
    </w:p>
    <w:p w14:paraId="137B8D89">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技术依据、测量设备、方法和技术要求；</w:t>
      </w:r>
    </w:p>
    <w:p w14:paraId="5F39D53A">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已有资料情况；</w:t>
      </w:r>
    </w:p>
    <w:p w14:paraId="651D98B3">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平面控制测量要求；</w:t>
      </w:r>
    </w:p>
    <w:p w14:paraId="78C8ACF2">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高程控制测量要求；</w:t>
      </w:r>
    </w:p>
    <w:p w14:paraId="7FB58C82">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建筑坐标系的确定与转换；</w:t>
      </w:r>
    </w:p>
    <w:p w14:paraId="653F7E79">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基坑监测要求；</w:t>
      </w:r>
    </w:p>
    <w:p w14:paraId="0FD8C07C">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主体结构施工测量要求；</w:t>
      </w:r>
    </w:p>
    <w:p w14:paraId="37C8164D">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机电安装和装饰测量要求；</w:t>
      </w:r>
    </w:p>
    <w:p w14:paraId="529EE6AC">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主体结构变形及健康监测要求；</w:t>
      </w:r>
    </w:p>
    <w:p w14:paraId="24C410D7">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竣工测量要求；</w:t>
      </w:r>
    </w:p>
    <w:p w14:paraId="19D302A6">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质量安全生产保证措施；</w:t>
      </w:r>
    </w:p>
    <w:p w14:paraId="7504CDFD">
      <w:pPr>
        <w:numPr>
          <w:ilvl w:val="0"/>
          <w:numId w:val="34"/>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成果报告编制与提交。</w:t>
      </w:r>
    </w:p>
    <w:p w14:paraId="1ACFE9E2">
      <w:pPr>
        <w:pStyle w:val="69"/>
        <w:spacing w:before="120" w:after="120"/>
        <w:ind w:left="0"/>
        <w:rPr>
          <w:rFonts w:ascii="宋体" w:hAnsi="宋体" w:eastAsia="宋体"/>
        </w:rPr>
      </w:pPr>
      <w:r>
        <w:rPr>
          <w:rFonts w:hint="eastAsia" w:ascii="宋体" w:hAnsi="宋体" w:eastAsia="宋体"/>
        </w:rPr>
        <w:t>施工测量实施之前，应对施工图纸进行复核，并对控制点进行检核，控制点的检核应符合下列规定：：</w:t>
      </w:r>
    </w:p>
    <w:p w14:paraId="4F6C14A0">
      <w:pPr>
        <w:numPr>
          <w:ilvl w:val="0"/>
          <w:numId w:val="35"/>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控制点应牢固稳定；</w:t>
      </w:r>
    </w:p>
    <w:p w14:paraId="3A5899D4">
      <w:pPr>
        <w:numPr>
          <w:ilvl w:val="0"/>
          <w:numId w:val="35"/>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平面控制点数量不应少于3个；使用前应进行检核，角度较差的限差为20"，边长较差的相对中误差为1/7000，点位中误差为50mm；</w:t>
      </w:r>
    </w:p>
    <w:p w14:paraId="61B5F6C8">
      <w:pPr>
        <w:numPr>
          <w:ilvl w:val="0"/>
          <w:numId w:val="35"/>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水准点数量不应少于3个；使用前应按三等水准线路的方法进行检核，允许误差为±12√L（mm）（L为附合水准线路长度，单位：km）</w:t>
      </w:r>
    </w:p>
    <w:p w14:paraId="4A21E401">
      <w:pPr>
        <w:pStyle w:val="69"/>
        <w:spacing w:before="120" w:after="120"/>
        <w:ind w:left="0"/>
        <w:rPr>
          <w:rFonts w:ascii="宋体" w:hAnsi="宋体" w:eastAsia="宋体"/>
        </w:rPr>
      </w:pPr>
      <w:r>
        <w:rPr>
          <w:rFonts w:hint="eastAsia" w:ascii="宋体" w:hAnsi="宋体" w:eastAsia="宋体"/>
        </w:rPr>
        <w:t>施工控制测量前，应在施工场区埋设施工测量控制点，建立施工场区内部测量基准系统。施工测量控制点应符合下列规定：</w:t>
      </w:r>
    </w:p>
    <w:p w14:paraId="6682983F">
      <w:pPr>
        <w:numPr>
          <w:ilvl w:val="0"/>
          <w:numId w:val="36"/>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控制点应根据施工总平面布置图、施工场区的地形条件等因素确定，点位应选在通视良好、便于施测和长期保存的位置，宜设置为具备强制对中装置的观测墩；</w:t>
      </w:r>
    </w:p>
    <w:p w14:paraId="7E0A9A29">
      <w:pPr>
        <w:numPr>
          <w:ilvl w:val="0"/>
          <w:numId w:val="36"/>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控制点应妥善保护；</w:t>
      </w:r>
    </w:p>
    <w:p w14:paraId="5ECFC101">
      <w:pPr>
        <w:numPr>
          <w:ilvl w:val="0"/>
          <w:numId w:val="36"/>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控制点应定期进行复测检核。</w:t>
      </w:r>
    </w:p>
    <w:p w14:paraId="4EE8A8FC">
      <w:pPr>
        <w:pStyle w:val="109"/>
        <w:spacing w:before="120" w:after="120"/>
        <w:ind w:left="0"/>
        <w:rPr>
          <w:color w:val="000000" w:themeColor="text1"/>
          <w14:textFill>
            <w14:solidFill>
              <w14:schemeClr w14:val="tx1"/>
            </w14:solidFill>
          </w14:textFill>
        </w:rPr>
      </w:pPr>
      <w:bookmarkStart w:id="49" w:name="_Toc203213031"/>
      <w:r>
        <w:rPr>
          <w:rFonts w:hint="eastAsia"/>
          <w:color w:val="000000" w:themeColor="text1"/>
          <w14:textFill>
            <w14:solidFill>
              <w14:schemeClr w14:val="tx1"/>
            </w14:solidFill>
          </w14:textFill>
        </w:rPr>
        <w:t>质量检验要求</w:t>
      </w:r>
      <w:bookmarkEnd w:id="49"/>
    </w:p>
    <w:p w14:paraId="7CAF97EA">
      <w:pPr>
        <w:pStyle w:val="69"/>
        <w:spacing w:before="120" w:after="120"/>
        <w:ind w:left="0"/>
        <w:rPr>
          <w:rFonts w:ascii="宋体" w:hAnsi="宋体" w:eastAsia="宋体"/>
        </w:rPr>
      </w:pPr>
      <w:r>
        <w:rPr>
          <w:rFonts w:hint="eastAsia" w:ascii="宋体" w:hAnsi="宋体" w:eastAsia="宋体"/>
        </w:rPr>
        <w:t>测量原始记录应清晰、完整、规范、无涂改。电子记录应提交原始的数据文件。</w:t>
      </w:r>
    </w:p>
    <w:p w14:paraId="27632E7D">
      <w:pPr>
        <w:pStyle w:val="69"/>
        <w:spacing w:before="120" w:after="120"/>
        <w:ind w:left="0"/>
        <w:rPr>
          <w:rFonts w:ascii="宋体" w:hAnsi="宋体" w:eastAsia="宋体"/>
        </w:rPr>
      </w:pPr>
      <w:r>
        <w:rPr>
          <w:rFonts w:hint="eastAsia" w:ascii="宋体" w:hAnsi="宋体" w:eastAsia="宋体"/>
        </w:rPr>
        <w:t>施工测量单位在完成各阶段的测量工作后，应及时整理施工测量资料。</w:t>
      </w:r>
    </w:p>
    <w:p w14:paraId="0D6FB6B1">
      <w:pPr>
        <w:pStyle w:val="69"/>
        <w:spacing w:before="120" w:after="120"/>
        <w:ind w:left="0"/>
        <w:rPr>
          <w:rFonts w:ascii="宋体" w:hAnsi="宋体" w:eastAsia="宋体"/>
        </w:rPr>
      </w:pPr>
      <w:r>
        <w:rPr>
          <w:rFonts w:hint="eastAsia" w:ascii="宋体" w:hAnsi="宋体" w:eastAsia="宋体"/>
        </w:rPr>
        <w:t>测量成果应按现行国家标准《测绘成果质量检查与验收》GB/T 24356的规定进行检查验收。</w:t>
      </w:r>
    </w:p>
    <w:p w14:paraId="7C5D248F">
      <w:pPr>
        <w:pStyle w:val="69"/>
        <w:spacing w:before="120" w:after="120"/>
        <w:ind w:left="0"/>
      </w:pPr>
      <w:r>
        <w:rPr>
          <w:rFonts w:hint="eastAsia" w:ascii="宋体" w:hAnsi="宋体" w:eastAsia="宋体"/>
        </w:rPr>
        <w:t>测量成果质量应通过两级检查一级验收的方式进行控制,包括过程检查、最终检查和验收检验,各阶段应独立、按顺序进行,不得省略、代替或颠倒顺序。</w:t>
      </w:r>
    </w:p>
    <w:p w14:paraId="4C5B505E">
      <w:pPr>
        <w:pStyle w:val="108"/>
        <w:spacing w:before="240" w:after="240"/>
      </w:pPr>
      <w:bookmarkStart w:id="50" w:name="_Toc203213032"/>
      <w:r>
        <w:rPr>
          <w:rFonts w:hint="eastAsia"/>
        </w:rPr>
        <w:t>平面控制测量</w:t>
      </w:r>
      <w:bookmarkEnd w:id="50"/>
    </w:p>
    <w:p w14:paraId="4C352615">
      <w:pPr>
        <w:pStyle w:val="109"/>
        <w:spacing w:before="120" w:after="120"/>
        <w:ind w:left="0"/>
        <w:rPr>
          <w:rFonts w:hAnsi="黑体"/>
          <w:color w:val="000000" w:themeColor="text1"/>
          <w14:textFill>
            <w14:solidFill>
              <w14:schemeClr w14:val="tx1"/>
            </w14:solidFill>
          </w14:textFill>
        </w:rPr>
      </w:pPr>
      <w:bookmarkStart w:id="51" w:name="_Toc203213033"/>
      <w:r>
        <w:rPr>
          <w:rFonts w:hint="eastAsia" w:hAnsi="黑体"/>
          <w:color w:val="000000" w:themeColor="text1"/>
          <w14:textFill>
            <w14:solidFill>
              <w14:schemeClr w14:val="tx1"/>
            </w14:solidFill>
          </w14:textFill>
        </w:rPr>
        <w:t>一般规定</w:t>
      </w:r>
      <w:bookmarkEnd w:id="51"/>
    </w:p>
    <w:p w14:paraId="7F2BC02D">
      <w:pPr>
        <w:pStyle w:val="69"/>
        <w:spacing w:before="120" w:after="120"/>
        <w:ind w:left="0"/>
        <w:rPr>
          <w:rFonts w:ascii="宋体" w:hAnsi="宋体" w:eastAsia="宋体"/>
        </w:rPr>
      </w:pPr>
      <w:r>
        <w:rPr>
          <w:rFonts w:hint="eastAsia" w:ascii="宋体" w:hAnsi="宋体" w:eastAsia="宋体"/>
        </w:rPr>
        <w:t>平面控制网的布设应遵循先整体后局部、高精度控制低精度、分级控制的原则。超高层建筑平面控制网包括场区平面控制网和建筑物平面控制网，应先建立场区平面控制网，再建立建筑物平面控制网。</w:t>
      </w:r>
    </w:p>
    <w:p w14:paraId="3F45D16F">
      <w:pPr>
        <w:pStyle w:val="69"/>
        <w:spacing w:before="120" w:after="120"/>
        <w:ind w:left="0"/>
        <w:rPr>
          <w:rFonts w:ascii="宋体" w:hAnsi="宋体" w:eastAsia="宋体"/>
        </w:rPr>
      </w:pPr>
      <w:r>
        <w:rPr>
          <w:rFonts w:hint="eastAsia" w:ascii="宋体" w:hAnsi="宋体" w:eastAsia="宋体"/>
        </w:rPr>
        <w:t>平面控制网的等级应根据建筑高度确定，分为一级、二级。超过300m（含）的超高层建筑应按一级网的技术要求布设，超过100m（含）低于300m的超高层建筑应按不低于二级网的技术要求布设。</w:t>
      </w:r>
    </w:p>
    <w:p w14:paraId="2597A127">
      <w:pPr>
        <w:pStyle w:val="69"/>
        <w:spacing w:before="120" w:after="120"/>
        <w:ind w:left="0"/>
        <w:rPr>
          <w:rFonts w:ascii="宋体" w:hAnsi="宋体" w:eastAsia="宋体"/>
        </w:rPr>
      </w:pPr>
      <w:r>
        <w:rPr>
          <w:rFonts w:hint="eastAsia" w:ascii="宋体" w:hAnsi="宋体" w:eastAsia="宋体"/>
        </w:rPr>
        <w:t>平面控制网布设前，应依据有关测量资料和建筑设计总平面图、施工总平面布置图，了解施工工艺和精度要求，结合施工地区地形条件，确定控制网布设方案。</w:t>
      </w:r>
    </w:p>
    <w:p w14:paraId="7647F7AB">
      <w:pPr>
        <w:pStyle w:val="69"/>
        <w:spacing w:before="120" w:after="120"/>
        <w:ind w:left="0"/>
        <w:rPr>
          <w:rFonts w:ascii="宋体" w:hAnsi="宋体" w:eastAsia="宋体"/>
        </w:rPr>
      </w:pPr>
      <w:bookmarkStart w:id="52" w:name="OLE_LINK4"/>
      <w:r>
        <w:rPr>
          <w:rFonts w:hint="eastAsia" w:ascii="宋体" w:hAnsi="宋体" w:eastAsia="宋体"/>
        </w:rPr>
        <w:t>平面控制点</w:t>
      </w:r>
      <w:bookmarkEnd w:id="52"/>
      <w:r>
        <w:rPr>
          <w:rFonts w:hint="eastAsia" w:ascii="宋体" w:hAnsi="宋体" w:eastAsia="宋体"/>
        </w:rPr>
        <w:t>实地位置的选定应符合下列要求：</w:t>
      </w:r>
    </w:p>
    <w:p w14:paraId="7B2F7E4D">
      <w:pPr>
        <w:pStyle w:val="240"/>
        <w:numPr>
          <w:ilvl w:val="0"/>
          <w:numId w:val="37"/>
        </w:numPr>
        <w:spacing w:before="120" w:beforeLines="50" w:after="120" w:afterLines="50"/>
        <w:ind w:firstLineChars="0"/>
        <w:rPr>
          <w:rFonts w:ascii="Calibri" w:hAnsi="Calibri"/>
          <w:color w:val="000000" w:themeColor="text1"/>
          <w:szCs w:val="21"/>
          <w14:textFill>
            <w14:solidFill>
              <w14:schemeClr w14:val="tx1"/>
            </w14:solidFill>
          </w14:textFill>
        </w:rPr>
      </w:pPr>
      <w:r>
        <w:rPr>
          <w:rFonts w:hint="eastAsia" w:ascii="Calibri" w:hAnsi="Calibri"/>
          <w:color w:val="000000" w:themeColor="text1"/>
          <w:szCs w:val="21"/>
          <w14:textFill>
            <w14:solidFill>
              <w14:schemeClr w14:val="tx1"/>
            </w14:solidFill>
          </w14:textFill>
        </w:rPr>
        <w:t>平面控制点的标志和</w:t>
      </w:r>
      <w:r>
        <w:rPr>
          <w:rFonts w:hint="eastAsia" w:ascii="宋体" w:hAnsi="宋体" w:eastAsia="宋体" w:cs="宋体"/>
          <w:color w:val="000000" w:themeColor="text1"/>
          <w:szCs w:val="21"/>
          <w14:textFill>
            <w14:solidFill>
              <w14:schemeClr w14:val="tx1"/>
            </w14:solidFill>
          </w14:textFill>
        </w:rPr>
        <w:t>埋设应符合GB 50026的规定，</w:t>
      </w:r>
      <w:r>
        <w:rPr>
          <w:rFonts w:hint="eastAsia" w:ascii="Calibri" w:hAnsi="Calibri"/>
          <w:color w:val="000000" w:themeColor="text1"/>
          <w:szCs w:val="21"/>
          <w14:textFill>
            <w14:solidFill>
              <w14:schemeClr w14:val="tx1"/>
            </w14:solidFill>
          </w14:textFill>
        </w:rPr>
        <w:t>点位应选在通视良好、地质坚硬、便于施测和长期保存的地方；</w:t>
      </w:r>
    </w:p>
    <w:p w14:paraId="1C30407C">
      <w:pPr>
        <w:numPr>
          <w:ilvl w:val="0"/>
          <w:numId w:val="37"/>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卫星定位点的周围不应有强烈干扰卫星信号</w:t>
      </w:r>
      <w:r>
        <w:rPr>
          <w:rFonts w:hint="eastAsia" w:ascii="宋体" w:hAnsi="宋体" w:eastAsia="宋体" w:cs="宋体"/>
          <w:color w:val="000000" w:themeColor="text1"/>
          <w:kern w:val="2"/>
          <w:sz w:val="21"/>
          <w:szCs w:val="21"/>
          <w:lang w:val="en-US" w:eastAsia="zh-CN" w:bidi="ar-SA"/>
          <w14:textFill>
            <w14:solidFill>
              <w14:schemeClr w14:val="tx1"/>
            </w14:solidFill>
          </w14:textFill>
        </w:rPr>
        <w:t>的物体，距无线电大功率发射源应大于200m，距高压输电线路或微波信号传输通道应大于100m；</w:t>
      </w:r>
    </w:p>
    <w:p w14:paraId="2AAB6535">
      <w:pPr>
        <w:numPr>
          <w:ilvl w:val="0"/>
          <w:numId w:val="37"/>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导线点间的测线应避开烟囱、散热塔等发热体及强电磁场，视线以不受旁折光的影响为原则；</w:t>
      </w:r>
    </w:p>
    <w:p w14:paraId="43668970">
      <w:pPr>
        <w:numPr>
          <w:ilvl w:val="0"/>
          <w:numId w:val="37"/>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平面控制点应至少有一个通视方向。</w:t>
      </w:r>
    </w:p>
    <w:p w14:paraId="656D2AA2">
      <w:pPr>
        <w:pStyle w:val="69"/>
        <w:spacing w:before="120" w:after="120"/>
        <w:ind w:left="0"/>
        <w:rPr>
          <w:rFonts w:ascii="宋体" w:hAnsi="宋体" w:eastAsia="宋体"/>
        </w:rPr>
      </w:pPr>
      <w:r>
        <w:rPr>
          <w:rFonts w:hint="eastAsia" w:ascii="宋体" w:hAnsi="宋体" w:eastAsia="宋体"/>
        </w:rPr>
        <w:t>当建筑工程设计所采用的坐标系与规划文件所采用的坐标系不一致时，应提供两种坐标系统的换算关系。</w:t>
      </w:r>
    </w:p>
    <w:p w14:paraId="53F388A4">
      <w:pPr>
        <w:pStyle w:val="69"/>
        <w:spacing w:before="120" w:after="120"/>
        <w:ind w:left="0"/>
        <w:rPr>
          <w:rFonts w:ascii="宋体" w:hAnsi="宋体" w:eastAsia="宋体"/>
        </w:rPr>
      </w:pPr>
      <w:r>
        <w:rPr>
          <w:rFonts w:hint="eastAsia" w:ascii="宋体" w:hAnsi="宋体" w:eastAsia="宋体"/>
        </w:rPr>
        <w:t>平面控制网点应定期复测，复测周期为一季度1次；复测精度按照布网精度要求进行。当发现控制点有可能变动或当测区受到地震、洪水、爆破等外界因素影响时应立即进行复测，在平面控制网点稳定前应加大复测频率。</w:t>
      </w:r>
    </w:p>
    <w:p w14:paraId="7F272808">
      <w:pPr>
        <w:pStyle w:val="109"/>
        <w:spacing w:before="120" w:after="120"/>
        <w:ind w:left="0"/>
        <w:rPr>
          <w:rFonts w:hAnsi="黑体"/>
          <w:color w:val="FF0000"/>
        </w:rPr>
      </w:pPr>
      <w:r>
        <w:fldChar w:fldCharType="begin"/>
      </w:r>
      <w:r>
        <w:instrText xml:space="preserve"> HYPERLINK \l "_Toc154652323" </w:instrText>
      </w:r>
      <w:r>
        <w:fldChar w:fldCharType="separate"/>
      </w:r>
      <w:bookmarkStart w:id="53" w:name="_Toc203213034"/>
      <w:r>
        <w:rPr>
          <w:rFonts w:hAnsi="黑体"/>
          <w:color w:val="000000" w:themeColor="text1"/>
          <w14:textFill>
            <w14:solidFill>
              <w14:schemeClr w14:val="tx1"/>
            </w14:solidFill>
          </w14:textFill>
        </w:rPr>
        <w:t>场区平面控制测量</w:t>
      </w:r>
      <w:bookmarkEnd w:id="53"/>
      <w:r>
        <w:rPr>
          <w:rFonts w:hAnsi="黑体"/>
          <w:color w:val="000000" w:themeColor="text1"/>
          <w14:textFill>
            <w14:solidFill>
              <w14:schemeClr w14:val="tx1"/>
            </w14:solidFill>
          </w14:textFill>
        </w:rPr>
        <w:fldChar w:fldCharType="end"/>
      </w:r>
    </w:p>
    <w:p w14:paraId="4DBB3F9C">
      <w:pPr>
        <w:pStyle w:val="69"/>
        <w:spacing w:before="120" w:after="120"/>
        <w:ind w:left="0"/>
        <w:rPr>
          <w:rFonts w:ascii="宋体" w:hAnsi="宋体" w:eastAsia="宋体"/>
        </w:rPr>
      </w:pPr>
      <w:r>
        <w:rPr>
          <w:rFonts w:hint="eastAsia" w:ascii="宋体" w:hAnsi="宋体" w:eastAsia="宋体"/>
        </w:rPr>
        <w:t>场区平面控制网应根据场区地形条件与建筑总体布置情况，布设成导线网、卫星定位测量控制网、建筑方格网等形式。</w:t>
      </w:r>
    </w:p>
    <w:p w14:paraId="3ABC9CB0">
      <w:pPr>
        <w:pStyle w:val="69"/>
        <w:spacing w:before="120" w:after="120"/>
        <w:ind w:left="0"/>
        <w:rPr>
          <w:rFonts w:ascii="宋体" w:hAnsi="宋体" w:eastAsia="宋体"/>
        </w:rPr>
      </w:pPr>
      <w:r>
        <w:rPr>
          <w:rFonts w:hint="eastAsia" w:ascii="宋体" w:hAnsi="宋体" w:eastAsia="宋体"/>
        </w:rPr>
        <w:t>场区平面控制网采用导线网时，导线边长应大致相等，相邻边长的长度之比</w:t>
      </w:r>
      <w:r>
        <w:rPr>
          <w:rFonts w:hint="eastAsia" w:ascii="宋体" w:hAnsi="宋体" w:eastAsia="宋体" w:cs="宋体"/>
          <w:color w:val="000000" w:themeColor="text1"/>
          <w:kern w:val="2"/>
          <w:sz w:val="21"/>
          <w:szCs w:val="21"/>
          <w:lang w:val="en-US" w:eastAsia="zh-CN" w:bidi="ar-SA"/>
          <w14:textFill>
            <w14:solidFill>
              <w14:schemeClr w14:val="tx1"/>
            </w14:solidFill>
          </w14:textFill>
        </w:rPr>
        <w:t>不宜超过1:3，</w:t>
      </w:r>
      <w:r>
        <w:rPr>
          <w:rFonts w:hint="eastAsia" w:ascii="宋体" w:hAnsi="宋体" w:eastAsia="宋体"/>
        </w:rPr>
        <w:t>其主要技术要求应符合</w:t>
      </w:r>
      <w:r>
        <w:rPr>
          <w:rFonts w:hint="eastAsia" w:ascii="宋体" w:hAnsi="宋体" w:eastAsia="宋体" w:cs="宋体"/>
          <w:color w:val="000000" w:themeColor="text1"/>
          <w:kern w:val="2"/>
          <w:sz w:val="21"/>
          <w:szCs w:val="21"/>
          <w:lang w:val="en-US" w:eastAsia="zh-CN" w:bidi="ar-SA"/>
          <w14:textFill>
            <w14:solidFill>
              <w14:schemeClr w14:val="tx1"/>
            </w14:solidFill>
          </w14:textFill>
        </w:rPr>
        <w:t>表1的规</w:t>
      </w:r>
      <w:r>
        <w:rPr>
          <w:rFonts w:hint="eastAsia" w:ascii="宋体" w:hAnsi="宋体" w:eastAsia="宋体"/>
        </w:rPr>
        <w:t>定。</w:t>
      </w:r>
    </w:p>
    <w:p w14:paraId="39DE66B0">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表1场区控制网导线测量的主要技术要求</w:t>
      </w:r>
    </w:p>
    <w:tbl>
      <w:tblPr>
        <w:tblStyle w:val="30"/>
        <w:tblW w:w="45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815"/>
        <w:gridCol w:w="948"/>
        <w:gridCol w:w="798"/>
        <w:gridCol w:w="932"/>
        <w:gridCol w:w="847"/>
        <w:gridCol w:w="806"/>
        <w:gridCol w:w="806"/>
        <w:gridCol w:w="888"/>
        <w:gridCol w:w="1137"/>
      </w:tblGrid>
      <w:tr w14:paraId="7C0BC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5" w:type="dxa"/>
            <w:vMerge w:val="restart"/>
            <w:vAlign w:val="center"/>
          </w:tcPr>
          <w:p w14:paraId="49AE83D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等级</w:t>
            </w:r>
          </w:p>
        </w:tc>
        <w:tc>
          <w:tcPr>
            <w:tcW w:w="815" w:type="dxa"/>
            <w:vMerge w:val="restart"/>
            <w:vAlign w:val="center"/>
          </w:tcPr>
          <w:p w14:paraId="06708263">
            <w:pPr>
              <w:spacing w:line="240" w:lineRule="auto"/>
              <w:jc w:val="center"/>
              <w:rPr>
                <w:rFonts w:hint="eastAsia" w:ascii="宋体" w:hAnsi="宋体" w:eastAsia="宋体" w:cs="宋体"/>
                <w:sz w:val="18"/>
                <w:szCs w:val="18"/>
              </w:rPr>
            </w:pPr>
            <w:r>
              <w:rPr>
                <w:rFonts w:hint="eastAsia" w:ascii="宋体" w:hAnsi="宋体" w:eastAsia="宋体" w:cs="宋体"/>
                <w:sz w:val="18"/>
                <w:szCs w:val="18"/>
              </w:rPr>
              <w:t>导线长度/km</w:t>
            </w:r>
          </w:p>
        </w:tc>
        <w:tc>
          <w:tcPr>
            <w:tcW w:w="948" w:type="dxa"/>
            <w:vMerge w:val="restart"/>
            <w:vAlign w:val="center"/>
          </w:tcPr>
          <w:p w14:paraId="265C2B1B">
            <w:pPr>
              <w:spacing w:line="240" w:lineRule="auto"/>
              <w:jc w:val="center"/>
              <w:rPr>
                <w:rFonts w:hint="eastAsia" w:ascii="宋体" w:hAnsi="宋体" w:eastAsia="宋体" w:cs="宋体"/>
                <w:sz w:val="18"/>
                <w:szCs w:val="18"/>
              </w:rPr>
            </w:pPr>
            <w:r>
              <w:rPr>
                <w:rFonts w:hint="eastAsia" w:ascii="宋体" w:hAnsi="宋体" w:eastAsia="宋体" w:cs="宋体"/>
                <w:sz w:val="18"/>
                <w:szCs w:val="18"/>
              </w:rPr>
              <w:t>平均边长/m</w:t>
            </w:r>
          </w:p>
        </w:tc>
        <w:tc>
          <w:tcPr>
            <w:tcW w:w="798" w:type="dxa"/>
            <w:vMerge w:val="restart"/>
            <w:vAlign w:val="center"/>
          </w:tcPr>
          <w:p w14:paraId="3EDD08C8">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测角中误差/″</w:t>
            </w:r>
          </w:p>
        </w:tc>
        <w:tc>
          <w:tcPr>
            <w:tcW w:w="932" w:type="dxa"/>
            <w:vMerge w:val="restart"/>
            <w:vAlign w:val="center"/>
          </w:tcPr>
          <w:p w14:paraId="4272637C">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测距相对中误差</w:t>
            </w:r>
          </w:p>
        </w:tc>
        <w:tc>
          <w:tcPr>
            <w:tcW w:w="2459" w:type="dxa"/>
            <w:gridSpan w:val="3"/>
            <w:vAlign w:val="center"/>
          </w:tcPr>
          <w:p w14:paraId="3237269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测回数</w:t>
            </w:r>
          </w:p>
        </w:tc>
        <w:tc>
          <w:tcPr>
            <w:tcW w:w="888" w:type="dxa"/>
            <w:vMerge w:val="restart"/>
            <w:vAlign w:val="center"/>
          </w:tcPr>
          <w:p w14:paraId="19447988">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方位角闭合差/″</w:t>
            </w:r>
          </w:p>
        </w:tc>
        <w:tc>
          <w:tcPr>
            <w:tcW w:w="1137" w:type="dxa"/>
            <w:vMerge w:val="restart"/>
            <w:vAlign w:val="center"/>
          </w:tcPr>
          <w:p w14:paraId="1BA0E833">
            <w:pPr>
              <w:spacing w:line="240" w:lineRule="auto"/>
              <w:jc w:val="center"/>
              <w:rPr>
                <w:rFonts w:hint="eastAsia" w:ascii="宋体" w:hAnsi="宋体" w:eastAsia="宋体" w:cs="宋体"/>
                <w:sz w:val="18"/>
                <w:szCs w:val="18"/>
              </w:rPr>
            </w:pPr>
            <w:r>
              <w:rPr>
                <w:rFonts w:hint="eastAsia" w:ascii="宋体" w:hAnsi="宋体" w:eastAsia="宋体" w:cs="宋体"/>
                <w:sz w:val="18"/>
                <w:szCs w:val="18"/>
              </w:rPr>
              <w:t>导线全长相对闭合差</w:t>
            </w:r>
          </w:p>
        </w:tc>
      </w:tr>
      <w:tr w14:paraId="42BCF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5" w:type="dxa"/>
            <w:vMerge w:val="continue"/>
            <w:vAlign w:val="center"/>
          </w:tcPr>
          <w:p w14:paraId="0AF1E518">
            <w:pPr>
              <w:spacing w:line="240" w:lineRule="auto"/>
              <w:jc w:val="center"/>
              <w:rPr>
                <w:rFonts w:hint="eastAsia" w:ascii="宋体" w:hAnsi="宋体" w:eastAsia="宋体" w:cs="宋体"/>
                <w:sz w:val="18"/>
                <w:szCs w:val="18"/>
              </w:rPr>
            </w:pPr>
          </w:p>
        </w:tc>
        <w:tc>
          <w:tcPr>
            <w:tcW w:w="815" w:type="dxa"/>
            <w:vMerge w:val="continue"/>
            <w:vAlign w:val="center"/>
          </w:tcPr>
          <w:p w14:paraId="6884E7ED">
            <w:pPr>
              <w:spacing w:line="240" w:lineRule="auto"/>
              <w:jc w:val="center"/>
              <w:rPr>
                <w:rFonts w:hint="eastAsia" w:ascii="宋体" w:hAnsi="宋体" w:eastAsia="宋体" w:cs="宋体"/>
                <w:sz w:val="18"/>
                <w:szCs w:val="18"/>
              </w:rPr>
            </w:pPr>
          </w:p>
        </w:tc>
        <w:tc>
          <w:tcPr>
            <w:tcW w:w="948" w:type="dxa"/>
            <w:vMerge w:val="continue"/>
            <w:vAlign w:val="center"/>
          </w:tcPr>
          <w:p w14:paraId="630F5FB6">
            <w:pPr>
              <w:spacing w:line="240" w:lineRule="auto"/>
              <w:jc w:val="center"/>
              <w:rPr>
                <w:rFonts w:hint="eastAsia" w:ascii="宋体" w:hAnsi="宋体" w:eastAsia="宋体" w:cs="宋体"/>
                <w:sz w:val="18"/>
                <w:szCs w:val="18"/>
              </w:rPr>
            </w:pPr>
          </w:p>
        </w:tc>
        <w:tc>
          <w:tcPr>
            <w:tcW w:w="798" w:type="dxa"/>
            <w:vMerge w:val="continue"/>
            <w:vAlign w:val="center"/>
          </w:tcPr>
          <w:p w14:paraId="4462D543">
            <w:pPr>
              <w:spacing w:line="240" w:lineRule="auto"/>
              <w:jc w:val="center"/>
              <w:rPr>
                <w:rFonts w:hint="eastAsia" w:ascii="宋体" w:hAnsi="宋体" w:eastAsia="宋体" w:cs="宋体"/>
                <w:sz w:val="18"/>
                <w:szCs w:val="18"/>
              </w:rPr>
            </w:pPr>
          </w:p>
        </w:tc>
        <w:tc>
          <w:tcPr>
            <w:tcW w:w="932" w:type="dxa"/>
            <w:vMerge w:val="continue"/>
            <w:vAlign w:val="center"/>
          </w:tcPr>
          <w:p w14:paraId="35B3270C">
            <w:pPr>
              <w:spacing w:line="240" w:lineRule="auto"/>
              <w:jc w:val="center"/>
              <w:rPr>
                <w:rFonts w:hint="eastAsia" w:ascii="宋体" w:hAnsi="宋体" w:eastAsia="宋体" w:cs="宋体"/>
                <w:sz w:val="18"/>
                <w:szCs w:val="18"/>
              </w:rPr>
            </w:pPr>
          </w:p>
        </w:tc>
        <w:tc>
          <w:tcPr>
            <w:tcW w:w="847" w:type="dxa"/>
            <w:vAlign w:val="center"/>
          </w:tcPr>
          <w:p w14:paraId="054C0BD4">
            <w:pPr>
              <w:spacing w:line="240" w:lineRule="auto"/>
              <w:jc w:val="center"/>
              <w:rPr>
                <w:rFonts w:hint="eastAsia" w:ascii="宋体" w:hAnsi="宋体" w:eastAsia="宋体" w:cs="宋体"/>
                <w:sz w:val="18"/>
                <w:szCs w:val="18"/>
              </w:rPr>
            </w:pPr>
            <w:r>
              <w:rPr>
                <w:rFonts w:hint="eastAsia" w:ascii="宋体" w:hAnsi="宋体" w:eastAsia="宋体" w:cs="宋体"/>
                <w:sz w:val="18"/>
                <w:szCs w:val="18"/>
              </w:rPr>
              <w:t>0.5″级仪器</w:t>
            </w:r>
          </w:p>
        </w:tc>
        <w:tc>
          <w:tcPr>
            <w:tcW w:w="806" w:type="dxa"/>
            <w:vAlign w:val="center"/>
          </w:tcPr>
          <w:p w14:paraId="1DD11A4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1″级仪器</w:t>
            </w:r>
          </w:p>
        </w:tc>
        <w:tc>
          <w:tcPr>
            <w:tcW w:w="806" w:type="dxa"/>
            <w:vAlign w:val="center"/>
          </w:tcPr>
          <w:p w14:paraId="2925D04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2″级仪器</w:t>
            </w:r>
          </w:p>
        </w:tc>
        <w:tc>
          <w:tcPr>
            <w:tcW w:w="888" w:type="dxa"/>
            <w:vMerge w:val="continue"/>
            <w:vAlign w:val="center"/>
          </w:tcPr>
          <w:p w14:paraId="4F16EE82">
            <w:pPr>
              <w:spacing w:line="240" w:lineRule="auto"/>
              <w:jc w:val="center"/>
              <w:rPr>
                <w:rFonts w:hint="eastAsia" w:ascii="宋体" w:hAnsi="宋体" w:eastAsia="宋体" w:cs="宋体"/>
                <w:sz w:val="18"/>
                <w:szCs w:val="18"/>
              </w:rPr>
            </w:pPr>
          </w:p>
        </w:tc>
        <w:tc>
          <w:tcPr>
            <w:tcW w:w="1137" w:type="dxa"/>
            <w:vMerge w:val="continue"/>
            <w:vAlign w:val="center"/>
          </w:tcPr>
          <w:p w14:paraId="34E113B2">
            <w:pPr>
              <w:spacing w:line="240" w:lineRule="auto"/>
              <w:jc w:val="center"/>
              <w:rPr>
                <w:rFonts w:hint="eastAsia" w:ascii="宋体" w:hAnsi="宋体" w:eastAsia="宋体" w:cs="宋体"/>
                <w:sz w:val="18"/>
                <w:szCs w:val="18"/>
              </w:rPr>
            </w:pPr>
          </w:p>
        </w:tc>
      </w:tr>
      <w:tr w14:paraId="081BF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5" w:type="dxa"/>
            <w:vAlign w:val="center"/>
          </w:tcPr>
          <w:p w14:paraId="743F777C">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一级</w:t>
            </w:r>
          </w:p>
        </w:tc>
        <w:tc>
          <w:tcPr>
            <w:tcW w:w="815" w:type="dxa"/>
            <w:vAlign w:val="center"/>
          </w:tcPr>
          <w:p w14:paraId="331DF8D0">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2.0</w:t>
            </w:r>
          </w:p>
        </w:tc>
        <w:tc>
          <w:tcPr>
            <w:tcW w:w="948" w:type="dxa"/>
            <w:vAlign w:val="center"/>
          </w:tcPr>
          <w:p w14:paraId="65636642">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100～300</w:t>
            </w:r>
          </w:p>
        </w:tc>
        <w:tc>
          <w:tcPr>
            <w:tcW w:w="798" w:type="dxa"/>
            <w:vAlign w:val="center"/>
          </w:tcPr>
          <w:p w14:paraId="47CC949C">
            <w:pPr>
              <w:spacing w:line="24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932" w:type="dxa"/>
            <w:vAlign w:val="center"/>
          </w:tcPr>
          <w:p w14:paraId="25C0A87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1/30000</w:t>
            </w:r>
          </w:p>
        </w:tc>
        <w:tc>
          <w:tcPr>
            <w:tcW w:w="847" w:type="dxa"/>
            <w:vAlign w:val="center"/>
          </w:tcPr>
          <w:p w14:paraId="4CF2B33F">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806" w:type="dxa"/>
            <w:vAlign w:val="center"/>
          </w:tcPr>
          <w:p w14:paraId="4A5CC02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806" w:type="dxa"/>
            <w:vAlign w:val="center"/>
          </w:tcPr>
          <w:p w14:paraId="70DF482E">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888" w:type="dxa"/>
            <w:vAlign w:val="center"/>
          </w:tcPr>
          <w:p w14:paraId="6EADE83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w:t>
            </w:r>
            <m:oMath>
              <m:rad>
                <m:radPr>
                  <m:degHide m:val="1"/>
                  <m:ctrlPr>
                    <w:rPr>
                      <w:rFonts w:hint="eastAsia" w:ascii="Cambria Math" w:hAnsi="Cambria Math" w:eastAsia="宋体" w:cs="宋体"/>
                      <w:sz w:val="18"/>
                      <w:szCs w:val="18"/>
                    </w:rPr>
                  </m:ctrlPr>
                </m:radPr>
                <m:deg>
                  <m:ctrlPr>
                    <w:rPr>
                      <w:rFonts w:hint="eastAsia" w:ascii="Cambria Math" w:hAnsi="Cambria Math" w:eastAsia="宋体" w:cs="宋体"/>
                      <w:sz w:val="18"/>
                      <w:szCs w:val="18"/>
                    </w:rPr>
                  </m:ctrlPr>
                </m:deg>
                <m:e>
                  <m:r>
                    <m:rPr/>
                    <w:rPr>
                      <w:rFonts w:hint="eastAsia" w:ascii="Cambria Math" w:hAnsi="Cambria Math" w:eastAsia="宋体" w:cs="宋体"/>
                      <w:sz w:val="18"/>
                      <w:szCs w:val="18"/>
                    </w:rPr>
                    <m:t>n</m:t>
                  </m:r>
                  <m:ctrlPr>
                    <w:rPr>
                      <w:rFonts w:hint="eastAsia" w:ascii="Cambria Math" w:hAnsi="Cambria Math" w:eastAsia="宋体" w:cs="宋体"/>
                      <w:sz w:val="18"/>
                      <w:szCs w:val="18"/>
                    </w:rPr>
                  </m:ctrlPr>
                </m:e>
              </m:rad>
            </m:oMath>
          </w:p>
        </w:tc>
        <w:tc>
          <w:tcPr>
            <w:tcW w:w="1137" w:type="dxa"/>
            <w:vAlign w:val="center"/>
          </w:tcPr>
          <w:p w14:paraId="298CBB9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≤1/15000</w:t>
            </w:r>
          </w:p>
        </w:tc>
      </w:tr>
      <w:tr w14:paraId="31FE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5" w:type="dxa"/>
            <w:vAlign w:val="center"/>
          </w:tcPr>
          <w:p w14:paraId="36623B35">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二级</w:t>
            </w:r>
          </w:p>
        </w:tc>
        <w:tc>
          <w:tcPr>
            <w:tcW w:w="815" w:type="dxa"/>
            <w:vAlign w:val="center"/>
          </w:tcPr>
          <w:p w14:paraId="3A255EED">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w:t>
            </w:r>
          </w:p>
        </w:tc>
        <w:tc>
          <w:tcPr>
            <w:tcW w:w="948" w:type="dxa"/>
            <w:vAlign w:val="center"/>
          </w:tcPr>
          <w:p w14:paraId="42B7447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100～200</w:t>
            </w:r>
          </w:p>
        </w:tc>
        <w:tc>
          <w:tcPr>
            <w:tcW w:w="798" w:type="dxa"/>
            <w:vAlign w:val="center"/>
          </w:tcPr>
          <w:p w14:paraId="0B08C00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8</w:t>
            </w:r>
          </w:p>
        </w:tc>
        <w:tc>
          <w:tcPr>
            <w:tcW w:w="932" w:type="dxa"/>
            <w:vAlign w:val="center"/>
          </w:tcPr>
          <w:p w14:paraId="1F481C9A">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1/14000</w:t>
            </w:r>
          </w:p>
        </w:tc>
        <w:tc>
          <w:tcPr>
            <w:tcW w:w="847" w:type="dxa"/>
            <w:vAlign w:val="center"/>
          </w:tcPr>
          <w:p w14:paraId="084F9D3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806" w:type="dxa"/>
            <w:vAlign w:val="center"/>
          </w:tcPr>
          <w:p w14:paraId="2CCDD484">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806" w:type="dxa"/>
            <w:vAlign w:val="center"/>
          </w:tcPr>
          <w:p w14:paraId="267747AB">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888" w:type="dxa"/>
            <w:vAlign w:val="center"/>
          </w:tcPr>
          <w:p w14:paraId="1F0FA506">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±16</w:t>
            </w:r>
            <m:oMath>
              <m:rad>
                <m:radPr>
                  <m:degHide m:val="1"/>
                  <m:ctrlPr>
                    <w:rPr>
                      <w:rFonts w:hint="eastAsia" w:ascii="Cambria Math" w:hAnsi="Cambria Math" w:eastAsia="宋体" w:cs="宋体"/>
                      <w:sz w:val="18"/>
                      <w:szCs w:val="18"/>
                    </w:rPr>
                  </m:ctrlPr>
                </m:radPr>
                <m:deg>
                  <m:ctrlPr>
                    <w:rPr>
                      <w:rFonts w:hint="eastAsia" w:ascii="Cambria Math" w:hAnsi="Cambria Math" w:eastAsia="宋体" w:cs="宋体"/>
                      <w:sz w:val="18"/>
                      <w:szCs w:val="18"/>
                    </w:rPr>
                  </m:ctrlPr>
                </m:deg>
                <m:e>
                  <m:r>
                    <m:rPr/>
                    <w:rPr>
                      <w:rFonts w:hint="eastAsia" w:ascii="Cambria Math" w:hAnsi="Cambria Math" w:eastAsia="宋体" w:cs="宋体"/>
                      <w:sz w:val="18"/>
                      <w:szCs w:val="18"/>
                    </w:rPr>
                    <m:t>n</m:t>
                  </m:r>
                  <m:ctrlPr>
                    <w:rPr>
                      <w:rFonts w:hint="eastAsia" w:ascii="Cambria Math" w:hAnsi="Cambria Math" w:eastAsia="宋体" w:cs="宋体"/>
                      <w:sz w:val="18"/>
                      <w:szCs w:val="18"/>
                    </w:rPr>
                  </m:ctrlPr>
                </m:e>
              </m:rad>
            </m:oMath>
          </w:p>
        </w:tc>
        <w:tc>
          <w:tcPr>
            <w:tcW w:w="1137" w:type="dxa"/>
            <w:vAlign w:val="center"/>
          </w:tcPr>
          <w:p w14:paraId="44DFC420">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≤1/10000</w:t>
            </w:r>
          </w:p>
        </w:tc>
      </w:tr>
      <w:tr w14:paraId="4E6CC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2" w:type="dxa"/>
            <w:gridSpan w:val="10"/>
            <w:vAlign w:val="center"/>
          </w:tcPr>
          <w:p w14:paraId="4392CCA2">
            <w:pPr>
              <w:spacing w:line="240" w:lineRule="auto"/>
              <w:jc w:val="left"/>
              <w:rPr>
                <w:rFonts w:hint="eastAsia" w:ascii="宋体" w:hAnsi="宋体" w:eastAsia="宋体" w:cs="宋体"/>
                <w:sz w:val="18"/>
                <w:szCs w:val="18"/>
              </w:rPr>
            </w:pPr>
            <w:r>
              <w:rPr>
                <w:rFonts w:hint="eastAsia" w:ascii="宋体" w:hAnsi="宋体" w:eastAsia="宋体" w:cs="宋体"/>
                <w:sz w:val="18"/>
                <w:szCs w:val="18"/>
              </w:rPr>
              <w:t>注:n为测站数。</w:t>
            </w:r>
          </w:p>
        </w:tc>
      </w:tr>
    </w:tbl>
    <w:p w14:paraId="31F4E121">
      <w:pPr>
        <w:pStyle w:val="69"/>
        <w:spacing w:before="120" w:after="120"/>
        <w:ind w:left="0"/>
        <w:rPr>
          <w:rFonts w:ascii="宋体" w:hAnsi="宋体" w:eastAsia="宋体"/>
        </w:rPr>
      </w:pPr>
      <w:r>
        <w:rPr>
          <w:rFonts w:hint="eastAsia" w:ascii="宋体" w:hAnsi="宋体" w:eastAsia="宋体"/>
        </w:rPr>
        <w:t>场区平面控制网采用建筑方格网时应符合下列规定：</w:t>
      </w:r>
    </w:p>
    <w:p w14:paraId="43D593EF">
      <w:pPr>
        <w:numPr>
          <w:ilvl w:val="0"/>
          <w:numId w:val="38"/>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建筑方格网的主要技术要求应符</w:t>
      </w:r>
      <w:r>
        <w:rPr>
          <w:rFonts w:hint="eastAsia" w:ascii="宋体" w:hAnsi="宋体" w:eastAsia="宋体" w:cs="宋体"/>
          <w:color w:val="000000" w:themeColor="text1"/>
          <w:kern w:val="2"/>
          <w:sz w:val="21"/>
          <w:szCs w:val="21"/>
          <w:lang w:val="en-US" w:eastAsia="zh-CN" w:bidi="ar-SA"/>
          <w14:textFill>
            <w14:solidFill>
              <w14:schemeClr w14:val="tx1"/>
            </w14:solidFill>
          </w14:textFill>
        </w:rPr>
        <w:t>合表2的</w:t>
      </w:r>
      <w:r>
        <w:rPr>
          <w:rFonts w:hint="eastAsia"/>
          <w:color w:val="000000" w:themeColor="text1"/>
          <w14:textFill>
            <w14:solidFill>
              <w14:schemeClr w14:val="tx1"/>
            </w14:solidFill>
          </w14:textFill>
        </w:rPr>
        <w:t>规定；</w:t>
      </w:r>
    </w:p>
    <w:p w14:paraId="39340297">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表2建筑方格网测量的主要技术要求</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206"/>
        <w:gridCol w:w="1877"/>
        <w:gridCol w:w="2527"/>
      </w:tblGrid>
      <w:tr w14:paraId="16711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5" w:type="dxa"/>
            <w:vAlign w:val="center"/>
          </w:tcPr>
          <w:p w14:paraId="6A6DE6D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等级</w:t>
            </w:r>
          </w:p>
        </w:tc>
        <w:tc>
          <w:tcPr>
            <w:tcW w:w="1420" w:type="dxa"/>
            <w:vAlign w:val="center"/>
          </w:tcPr>
          <w:p w14:paraId="35C8983E">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边长/m</w:t>
            </w:r>
          </w:p>
        </w:tc>
        <w:tc>
          <w:tcPr>
            <w:tcW w:w="2430" w:type="dxa"/>
            <w:vAlign w:val="center"/>
          </w:tcPr>
          <w:p w14:paraId="68995172">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测角中误差/″</w:t>
            </w:r>
          </w:p>
        </w:tc>
        <w:tc>
          <w:tcPr>
            <w:tcW w:w="3195" w:type="dxa"/>
            <w:vAlign w:val="center"/>
          </w:tcPr>
          <w:p w14:paraId="532DD242">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测距相对中误差</w:t>
            </w:r>
          </w:p>
        </w:tc>
      </w:tr>
      <w:tr w14:paraId="4C387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5" w:type="dxa"/>
            <w:vAlign w:val="center"/>
          </w:tcPr>
          <w:p w14:paraId="5624AD9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一级</w:t>
            </w:r>
          </w:p>
        </w:tc>
        <w:tc>
          <w:tcPr>
            <w:tcW w:w="1420" w:type="dxa"/>
            <w:vAlign w:val="center"/>
          </w:tcPr>
          <w:p w14:paraId="516A1CF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100～300</w:t>
            </w:r>
          </w:p>
        </w:tc>
        <w:tc>
          <w:tcPr>
            <w:tcW w:w="2430" w:type="dxa"/>
            <w:vAlign w:val="center"/>
          </w:tcPr>
          <w:p w14:paraId="6D6E967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3195" w:type="dxa"/>
            <w:vAlign w:val="center"/>
          </w:tcPr>
          <w:p w14:paraId="31BCFFA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≤1/30000</w:t>
            </w:r>
          </w:p>
        </w:tc>
      </w:tr>
      <w:tr w14:paraId="4984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5" w:type="dxa"/>
            <w:vAlign w:val="center"/>
          </w:tcPr>
          <w:p w14:paraId="24214CB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二级</w:t>
            </w:r>
          </w:p>
        </w:tc>
        <w:tc>
          <w:tcPr>
            <w:tcW w:w="1420" w:type="dxa"/>
            <w:vAlign w:val="center"/>
          </w:tcPr>
          <w:p w14:paraId="42B2E37B">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100～300</w:t>
            </w:r>
          </w:p>
        </w:tc>
        <w:tc>
          <w:tcPr>
            <w:tcW w:w="2430" w:type="dxa"/>
            <w:vAlign w:val="center"/>
          </w:tcPr>
          <w:p w14:paraId="16A933FE">
            <w:pPr>
              <w:spacing w:line="240" w:lineRule="auto"/>
              <w:jc w:val="center"/>
              <w:rPr>
                <w:rFonts w:hint="eastAsia" w:ascii="宋体" w:hAnsi="宋体" w:eastAsia="宋体" w:cs="宋体"/>
                <w:sz w:val="18"/>
                <w:szCs w:val="18"/>
              </w:rPr>
            </w:pPr>
            <w:r>
              <w:rPr>
                <w:rFonts w:hint="eastAsia" w:ascii="宋体" w:hAnsi="宋体" w:eastAsia="宋体" w:cs="宋体"/>
                <w:sz w:val="18"/>
                <w:szCs w:val="18"/>
              </w:rPr>
              <w:t>8</w:t>
            </w:r>
          </w:p>
        </w:tc>
        <w:tc>
          <w:tcPr>
            <w:tcW w:w="3195" w:type="dxa"/>
            <w:vAlign w:val="center"/>
          </w:tcPr>
          <w:p w14:paraId="5D692F5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≤1/20000</w:t>
            </w:r>
          </w:p>
        </w:tc>
      </w:tr>
    </w:tbl>
    <w:p w14:paraId="59523E45">
      <w:pPr>
        <w:numPr>
          <w:ilvl w:val="0"/>
          <w:numId w:val="38"/>
        </w:numPr>
        <w:adjustRightInd/>
        <w:spacing w:before="120" w:beforeLines="50" w:after="120" w:afterLines="50" w:line="240" w:lineRule="auto"/>
        <w:rPr>
          <w:color w:val="000000" w:themeColor="text1"/>
          <w14:textFill>
            <w14:solidFill>
              <w14:schemeClr w14:val="tx1"/>
            </w14:solidFill>
          </w14:textFill>
        </w:rPr>
      </w:pPr>
      <w:r>
        <w:rPr>
          <w:color w:val="000000" w:themeColor="text1"/>
          <w14:textFill>
            <w14:solidFill>
              <w14:schemeClr w14:val="tx1"/>
            </w14:solidFill>
          </w14:textFill>
        </w:rPr>
        <w:t>方格网点应与建筑物设计轴线平行</w:t>
      </w:r>
      <w:r>
        <w:t>，构成矩形格网；</w:t>
      </w:r>
    </w:p>
    <w:p w14:paraId="20D964CD">
      <w:pPr>
        <w:pStyle w:val="240"/>
        <w:numPr>
          <w:ilvl w:val="0"/>
          <w:numId w:val="38"/>
        </w:numPr>
        <w:spacing w:before="120" w:beforeLines="50" w:after="120" w:afterLines="50"/>
        <w:ind w:firstLineChars="0"/>
        <w:rPr>
          <w:color w:val="000000" w:themeColor="text1"/>
          <w14:textFill>
            <w14:solidFill>
              <w14:schemeClr w14:val="tx1"/>
            </w14:solidFill>
          </w14:textFill>
        </w:rPr>
      </w:pPr>
      <w:r>
        <w:rPr>
          <w:rFonts w:hint="eastAsia" w:ascii="Calibri" w:hAnsi="Calibri"/>
          <w:color w:val="000000" w:themeColor="text1"/>
          <w:szCs w:val="21"/>
          <w14:textFill>
            <w14:solidFill>
              <w14:schemeClr w14:val="tx1"/>
            </w14:solidFill>
          </w14:textFill>
        </w:rPr>
        <w:t>在建筑方格网</w:t>
      </w:r>
      <w:r>
        <w:rPr>
          <w:rFonts w:hint="eastAsia" w:ascii="宋体" w:hAnsi="宋体" w:eastAsia="宋体" w:cs="宋体"/>
          <w:color w:val="000000" w:themeColor="text1"/>
          <w:szCs w:val="21"/>
          <w14:textFill>
            <w14:solidFill>
              <w14:schemeClr w14:val="tx1"/>
            </w14:solidFill>
          </w14:textFill>
        </w:rPr>
        <w:t>布设后，应对建筑方格网轴线交点的角度及轴线距离进行测定，并将点位归化至设计位置，点位归化后，应进行角度和边长的复测检查。建筑方格网角度和边长复测检查的偏差限值应符合表3的</w:t>
      </w:r>
      <w:r>
        <w:rPr>
          <w:rFonts w:hint="eastAsia" w:ascii="Calibri" w:hAnsi="Calibri"/>
          <w:color w:val="000000" w:themeColor="text1"/>
          <w:szCs w:val="21"/>
          <w14:textFill>
            <w14:solidFill>
              <w14:schemeClr w14:val="tx1"/>
            </w14:solidFill>
          </w14:textFill>
        </w:rPr>
        <w:t>规定。</w:t>
      </w:r>
    </w:p>
    <w:p w14:paraId="5E032EC3">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表3建筑方格网角度和边长复测检查的偏差限值</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2329"/>
        <w:gridCol w:w="3062"/>
      </w:tblGrid>
      <w:tr w14:paraId="40E0A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Align w:val="center"/>
          </w:tcPr>
          <w:p w14:paraId="6E2F125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等级</w:t>
            </w:r>
          </w:p>
        </w:tc>
        <w:tc>
          <w:tcPr>
            <w:tcW w:w="2274" w:type="dxa"/>
            <w:vAlign w:val="center"/>
          </w:tcPr>
          <w:p w14:paraId="03D79EC2">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角度偏差/″</w:t>
            </w:r>
          </w:p>
        </w:tc>
        <w:tc>
          <w:tcPr>
            <w:tcW w:w="2990" w:type="dxa"/>
            <w:vAlign w:val="center"/>
          </w:tcPr>
          <w:p w14:paraId="3EE88338">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边长偏差/mm</w:t>
            </w:r>
          </w:p>
        </w:tc>
      </w:tr>
      <w:tr w14:paraId="0BA55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Align w:val="center"/>
          </w:tcPr>
          <w:p w14:paraId="28910AF4">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一级</w:t>
            </w:r>
          </w:p>
        </w:tc>
        <w:tc>
          <w:tcPr>
            <w:tcW w:w="2274" w:type="dxa"/>
            <w:vAlign w:val="center"/>
          </w:tcPr>
          <w:p w14:paraId="41DB10A8">
            <w:pPr>
              <w:spacing w:line="240" w:lineRule="auto"/>
              <w:jc w:val="center"/>
              <w:rPr>
                <w:rFonts w:hint="eastAsia" w:ascii="宋体" w:hAnsi="宋体" w:eastAsia="宋体" w:cs="宋体"/>
                <w:sz w:val="18"/>
                <w:szCs w:val="18"/>
              </w:rPr>
            </w:pPr>
            <w:r>
              <w:rPr>
                <w:rFonts w:hint="eastAsia" w:ascii="宋体" w:hAnsi="宋体" w:eastAsia="宋体" w:cs="宋体"/>
                <w:sz w:val="18"/>
                <w:szCs w:val="18"/>
              </w:rPr>
              <w:t>≤8″</w:t>
            </w:r>
          </w:p>
        </w:tc>
        <w:tc>
          <w:tcPr>
            <w:tcW w:w="2990" w:type="dxa"/>
            <w:vAlign w:val="center"/>
          </w:tcPr>
          <w:p w14:paraId="609B4E2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≤D/25000</w:t>
            </w:r>
          </w:p>
        </w:tc>
      </w:tr>
      <w:tr w14:paraId="2934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Align w:val="center"/>
          </w:tcPr>
          <w:p w14:paraId="3560C735">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二级</w:t>
            </w:r>
          </w:p>
        </w:tc>
        <w:tc>
          <w:tcPr>
            <w:tcW w:w="2274" w:type="dxa"/>
            <w:vAlign w:val="center"/>
          </w:tcPr>
          <w:p w14:paraId="7511762E">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≤12″</w:t>
            </w:r>
          </w:p>
        </w:tc>
        <w:tc>
          <w:tcPr>
            <w:tcW w:w="2990" w:type="dxa"/>
            <w:vAlign w:val="center"/>
          </w:tcPr>
          <w:p w14:paraId="2FD4BFD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≤D/15000</w:t>
            </w:r>
          </w:p>
        </w:tc>
      </w:tr>
      <w:tr w14:paraId="51E0B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1" w:type="dxa"/>
            <w:gridSpan w:val="3"/>
            <w:vAlign w:val="center"/>
          </w:tcPr>
          <w:p w14:paraId="0E303D6E">
            <w:pPr>
              <w:spacing w:line="240" w:lineRule="auto"/>
              <w:jc w:val="left"/>
              <w:rPr>
                <w:rFonts w:hint="eastAsia" w:ascii="宋体" w:hAnsi="宋体" w:eastAsia="宋体" w:cs="宋体"/>
                <w:sz w:val="18"/>
                <w:szCs w:val="18"/>
              </w:rPr>
            </w:pPr>
            <w:r>
              <w:rPr>
                <w:rFonts w:hint="eastAsia" w:ascii="宋体" w:hAnsi="宋体" w:eastAsia="宋体" w:cs="宋体"/>
                <w:sz w:val="18"/>
                <w:szCs w:val="18"/>
              </w:rPr>
              <w:t>注：D为方格网的边长，单位m。</w:t>
            </w:r>
          </w:p>
        </w:tc>
      </w:tr>
    </w:tbl>
    <w:p w14:paraId="033BE09F">
      <w:pPr>
        <w:pStyle w:val="69"/>
        <w:spacing w:before="120" w:after="120"/>
        <w:ind w:left="0"/>
        <w:rPr>
          <w:rFonts w:ascii="宋体" w:hAnsi="宋体" w:eastAsia="宋体"/>
        </w:rPr>
      </w:pPr>
      <w:r>
        <w:rPr>
          <w:rFonts w:hint="eastAsia" w:ascii="宋体" w:hAnsi="宋体" w:eastAsia="宋体"/>
        </w:rPr>
        <w:t>场区平面控制网采用卫星定位测量时，应采用静态测量方法进行，其主要技术要求应符合表4的规定。</w:t>
      </w:r>
    </w:p>
    <w:p w14:paraId="246A8E00">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表4场区平面控制网卫星定位测量的主要技术要求</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950"/>
        <w:gridCol w:w="1357"/>
        <w:gridCol w:w="1799"/>
        <w:gridCol w:w="1808"/>
      </w:tblGrid>
      <w:tr w14:paraId="334B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6B1F7FE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等级</w:t>
            </w:r>
          </w:p>
        </w:tc>
        <w:tc>
          <w:tcPr>
            <w:tcW w:w="928" w:type="dxa"/>
            <w:vAlign w:val="center"/>
          </w:tcPr>
          <w:p w14:paraId="4360B84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边长/m</w:t>
            </w:r>
          </w:p>
        </w:tc>
        <w:tc>
          <w:tcPr>
            <w:tcW w:w="1325" w:type="dxa"/>
            <w:vAlign w:val="center"/>
          </w:tcPr>
          <w:p w14:paraId="513289EC">
            <w:pPr>
              <w:spacing w:line="240" w:lineRule="auto"/>
              <w:jc w:val="center"/>
              <w:rPr>
                <w:rFonts w:hint="eastAsia" w:ascii="宋体" w:hAnsi="宋体" w:eastAsia="宋体" w:cs="宋体"/>
                <w:sz w:val="18"/>
                <w:szCs w:val="18"/>
              </w:rPr>
            </w:pPr>
            <w:r>
              <w:rPr>
                <w:rFonts w:hint="eastAsia" w:ascii="宋体" w:hAnsi="宋体" w:eastAsia="宋体" w:cs="宋体"/>
                <w:sz w:val="18"/>
                <w:szCs w:val="18"/>
              </w:rPr>
              <w:t>固定误差/mm</w:t>
            </w:r>
          </w:p>
        </w:tc>
        <w:tc>
          <w:tcPr>
            <w:tcW w:w="1757" w:type="dxa"/>
            <w:vAlign w:val="center"/>
          </w:tcPr>
          <w:p w14:paraId="24637A60">
            <w:pPr>
              <w:spacing w:line="240" w:lineRule="auto"/>
              <w:jc w:val="center"/>
              <w:rPr>
                <w:rFonts w:hint="eastAsia" w:ascii="宋体" w:hAnsi="宋体" w:eastAsia="宋体" w:cs="宋体"/>
                <w:sz w:val="18"/>
                <w:szCs w:val="18"/>
              </w:rPr>
            </w:pPr>
            <w:r>
              <w:rPr>
                <w:rFonts w:hint="eastAsia" w:ascii="宋体" w:hAnsi="宋体" w:eastAsia="宋体" w:cs="宋体"/>
                <w:sz w:val="18"/>
                <w:szCs w:val="18"/>
              </w:rPr>
              <w:t>比例误差系数</w:t>
            </w:r>
          </w:p>
          <w:p w14:paraId="627E4FDC">
            <w:pPr>
              <w:spacing w:line="240" w:lineRule="auto"/>
              <w:jc w:val="center"/>
              <w:rPr>
                <w:rFonts w:hint="eastAsia" w:ascii="宋体" w:hAnsi="宋体" w:eastAsia="宋体" w:cs="宋体"/>
                <w:sz w:val="18"/>
                <w:szCs w:val="18"/>
              </w:rPr>
            </w:pPr>
            <w:r>
              <w:rPr>
                <w:rFonts w:hint="eastAsia" w:ascii="宋体" w:hAnsi="宋体" w:eastAsia="宋体" w:cs="宋体"/>
                <w:sz w:val="18"/>
                <w:szCs w:val="18"/>
              </w:rPr>
              <w:t>mm/Km</w:t>
            </w:r>
          </w:p>
        </w:tc>
        <w:tc>
          <w:tcPr>
            <w:tcW w:w="1765" w:type="dxa"/>
            <w:vAlign w:val="center"/>
          </w:tcPr>
          <w:p w14:paraId="7228BE0B">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边长相对中误差</w:t>
            </w:r>
          </w:p>
        </w:tc>
      </w:tr>
      <w:tr w14:paraId="05ECD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7A0AC30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一级</w:t>
            </w:r>
          </w:p>
        </w:tc>
        <w:tc>
          <w:tcPr>
            <w:tcW w:w="928" w:type="dxa"/>
            <w:vAlign w:val="center"/>
          </w:tcPr>
          <w:p w14:paraId="19D3E78A">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300~500</w:t>
            </w:r>
          </w:p>
        </w:tc>
        <w:tc>
          <w:tcPr>
            <w:tcW w:w="1325" w:type="dxa"/>
            <w:vMerge w:val="restart"/>
            <w:vAlign w:val="center"/>
          </w:tcPr>
          <w:p w14:paraId="5E3CB0C1">
            <w:pPr>
              <w:spacing w:line="24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1757" w:type="dxa"/>
            <w:vMerge w:val="restart"/>
            <w:vAlign w:val="center"/>
          </w:tcPr>
          <w:p w14:paraId="08B1B179">
            <w:pPr>
              <w:spacing w:line="24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1765" w:type="dxa"/>
            <w:vAlign w:val="center"/>
          </w:tcPr>
          <w:p w14:paraId="0F548497">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≤1/40000</w:t>
            </w:r>
          </w:p>
        </w:tc>
      </w:tr>
      <w:tr w14:paraId="2B3F7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15B70968">
            <w:pPr>
              <w:spacing w:line="240" w:lineRule="auto"/>
              <w:jc w:val="center"/>
              <w:rPr>
                <w:rFonts w:hint="eastAsia" w:ascii="宋体" w:hAnsi="宋体" w:eastAsia="宋体" w:cs="宋体"/>
                <w:sz w:val="18"/>
                <w:szCs w:val="18"/>
              </w:rPr>
            </w:pPr>
            <w:r>
              <w:rPr>
                <w:rFonts w:hint="eastAsia" w:ascii="宋体" w:hAnsi="宋体" w:eastAsia="宋体" w:cs="宋体"/>
                <w:sz w:val="18"/>
                <w:szCs w:val="18"/>
              </w:rPr>
              <w:t>二级</w:t>
            </w:r>
          </w:p>
        </w:tc>
        <w:tc>
          <w:tcPr>
            <w:tcW w:w="928" w:type="dxa"/>
            <w:vAlign w:val="center"/>
          </w:tcPr>
          <w:p w14:paraId="54B5FFBF">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100~300</w:t>
            </w:r>
          </w:p>
        </w:tc>
        <w:tc>
          <w:tcPr>
            <w:tcW w:w="1325" w:type="dxa"/>
            <w:vMerge w:val="continue"/>
            <w:vAlign w:val="center"/>
          </w:tcPr>
          <w:p w14:paraId="687EA570">
            <w:pPr>
              <w:spacing w:line="240" w:lineRule="auto"/>
              <w:jc w:val="center"/>
              <w:rPr>
                <w:rFonts w:hint="eastAsia" w:ascii="宋体" w:hAnsi="宋体" w:eastAsia="宋体" w:cs="宋体"/>
                <w:sz w:val="18"/>
                <w:szCs w:val="18"/>
              </w:rPr>
            </w:pPr>
          </w:p>
        </w:tc>
        <w:tc>
          <w:tcPr>
            <w:tcW w:w="1757" w:type="dxa"/>
            <w:vMerge w:val="continue"/>
            <w:vAlign w:val="center"/>
          </w:tcPr>
          <w:p w14:paraId="0A4A3C79">
            <w:pPr>
              <w:spacing w:line="240" w:lineRule="auto"/>
              <w:jc w:val="center"/>
              <w:rPr>
                <w:rFonts w:hint="eastAsia" w:ascii="宋体" w:hAnsi="宋体" w:eastAsia="宋体" w:cs="宋体"/>
                <w:sz w:val="18"/>
                <w:szCs w:val="18"/>
              </w:rPr>
            </w:pPr>
          </w:p>
        </w:tc>
        <w:tc>
          <w:tcPr>
            <w:tcW w:w="1765" w:type="dxa"/>
            <w:vAlign w:val="center"/>
          </w:tcPr>
          <w:p w14:paraId="5DF62063">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≤1/20000</w:t>
            </w:r>
          </w:p>
        </w:tc>
      </w:tr>
    </w:tbl>
    <w:p w14:paraId="1FA91642">
      <w:pPr>
        <w:pStyle w:val="69"/>
        <w:spacing w:before="120" w:after="120"/>
        <w:ind w:left="0"/>
      </w:pPr>
      <w:r>
        <w:rPr>
          <w:rFonts w:hint="eastAsia" w:ascii="宋体" w:hAnsi="宋体" w:eastAsia="宋体"/>
        </w:rPr>
        <w:t>场区平面控制网导线测量和卫星定位测量的其他技术要求应按GB 50026的有关规定执行。</w:t>
      </w:r>
    </w:p>
    <w:p w14:paraId="494DEB62">
      <w:pPr>
        <w:pStyle w:val="109"/>
        <w:spacing w:before="120" w:after="120"/>
        <w:ind w:left="0"/>
        <w:rPr>
          <w:rFonts w:hAnsi="黑体"/>
          <w:color w:val="000000" w:themeColor="text1"/>
          <w14:textFill>
            <w14:solidFill>
              <w14:schemeClr w14:val="tx1"/>
            </w14:solidFill>
          </w14:textFill>
        </w:rPr>
      </w:pPr>
      <w:bookmarkStart w:id="54" w:name="_Toc203213035"/>
      <w:r>
        <w:rPr>
          <w:rFonts w:hint="eastAsia" w:hAnsi="黑体"/>
          <w:color w:val="000000" w:themeColor="text1"/>
          <w14:textFill>
            <w14:solidFill>
              <w14:schemeClr w14:val="tx1"/>
            </w14:solidFill>
          </w14:textFill>
        </w:rPr>
        <w:t>建筑物平面控制测量</w:t>
      </w:r>
      <w:bookmarkEnd w:id="54"/>
    </w:p>
    <w:p w14:paraId="7B740D77">
      <w:pPr>
        <w:pStyle w:val="69"/>
        <w:spacing w:before="120" w:after="120"/>
        <w:ind w:left="0"/>
        <w:rPr>
          <w:rFonts w:ascii="宋体" w:hAnsi="宋体" w:eastAsia="宋体"/>
        </w:rPr>
      </w:pPr>
      <w:r>
        <w:rPr>
          <w:rFonts w:hint="eastAsia" w:ascii="宋体" w:hAnsi="宋体" w:eastAsia="宋体"/>
        </w:rPr>
        <w:t>建筑平面控制网应根据建筑的形状布设成井字型、田字型或米字型，也可根据现场条件布设成其他网形。</w:t>
      </w:r>
    </w:p>
    <w:p w14:paraId="6457407C">
      <w:pPr>
        <w:pStyle w:val="69"/>
        <w:spacing w:before="120" w:after="120"/>
        <w:ind w:left="0"/>
        <w:rPr>
          <w:rFonts w:ascii="宋体" w:hAnsi="宋体" w:eastAsia="宋体"/>
        </w:rPr>
      </w:pPr>
      <w:r>
        <w:rPr>
          <w:rFonts w:hint="eastAsia" w:ascii="宋体" w:hAnsi="宋体" w:eastAsia="宋体"/>
        </w:rPr>
        <w:t>建筑施工平面控制网,应根据建筑的高度分为一级、二级控制网，其主要技术要求，应符合表</w:t>
      </w:r>
      <w:r>
        <w:rPr>
          <w:rFonts w:ascii="宋体" w:hAnsi="宋体" w:eastAsia="宋体"/>
        </w:rPr>
        <w:t>5</w:t>
      </w:r>
      <w:r>
        <w:rPr>
          <w:rFonts w:hint="eastAsia" w:ascii="宋体" w:hAnsi="宋体" w:eastAsia="宋体"/>
        </w:rPr>
        <w:t>的规定。</w:t>
      </w:r>
    </w:p>
    <w:p w14:paraId="370A8077">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5</w:t>
      </w:r>
      <w:r>
        <w:rPr>
          <w:rFonts w:hint="eastAsia" w:ascii="黑体" w:hAnsi="黑体" w:eastAsia="黑体"/>
          <w:bCs/>
          <w:color w:val="000000" w:themeColor="text1"/>
          <w14:textFill>
            <w14:solidFill>
              <w14:schemeClr w14:val="tx1"/>
            </w14:solidFill>
          </w14:textFill>
        </w:rPr>
        <w:t xml:space="preserve">  建筑物平面控制网主要技术要求</w:t>
      </w:r>
    </w:p>
    <w:tbl>
      <w:tblPr>
        <w:tblStyle w:val="29"/>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2611"/>
        <w:gridCol w:w="1648"/>
        <w:gridCol w:w="1755"/>
      </w:tblGrid>
      <w:tr w14:paraId="38A33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14:paraId="240E2D79">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等级</w:t>
            </w:r>
          </w:p>
        </w:tc>
        <w:tc>
          <w:tcPr>
            <w:tcW w:w="0" w:type="auto"/>
            <w:vAlign w:val="center"/>
          </w:tcPr>
          <w:p w14:paraId="599E4F57">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适用范围（建筑高度）/m</w:t>
            </w:r>
          </w:p>
        </w:tc>
        <w:tc>
          <w:tcPr>
            <w:tcW w:w="0" w:type="auto"/>
            <w:vAlign w:val="center"/>
          </w:tcPr>
          <w:p w14:paraId="12E1270C">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测角中误差/″</w:t>
            </w:r>
          </w:p>
        </w:tc>
        <w:tc>
          <w:tcPr>
            <w:tcW w:w="0" w:type="auto"/>
            <w:vAlign w:val="center"/>
          </w:tcPr>
          <w:p w14:paraId="32D96E34">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边长相对中误差</w:t>
            </w:r>
          </w:p>
        </w:tc>
      </w:tr>
      <w:tr w14:paraId="2EC8D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14:paraId="493E619A">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一级</w:t>
            </w:r>
          </w:p>
        </w:tc>
        <w:tc>
          <w:tcPr>
            <w:tcW w:w="0" w:type="auto"/>
            <w:vAlign w:val="center"/>
          </w:tcPr>
          <w:p w14:paraId="2BD82579">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≥300</w:t>
            </w:r>
          </w:p>
        </w:tc>
        <w:tc>
          <w:tcPr>
            <w:tcW w:w="0" w:type="auto"/>
            <w:vAlign w:val="center"/>
          </w:tcPr>
          <w:p w14:paraId="77AD739F">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8"/>
                <w:sz w:val="18"/>
                <w:szCs w:val="18"/>
                <w14:textFill>
                  <w14:solidFill>
                    <w14:schemeClr w14:val="tx1"/>
                  </w14:solidFill>
                </w14:textFill>
              </w:rPr>
              <w:object>
                <v:shape id="_x0000_i1025" o:spt="75" type="#_x0000_t75" style="height:15.7pt;width:25.55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tc>
        <w:tc>
          <w:tcPr>
            <w:tcW w:w="0" w:type="auto"/>
            <w:vAlign w:val="center"/>
          </w:tcPr>
          <w:p w14:paraId="27DB65CA">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≤1/30000</w:t>
            </w:r>
          </w:p>
        </w:tc>
      </w:tr>
      <w:tr w14:paraId="15F72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14:paraId="018634DE">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二级</w:t>
            </w:r>
          </w:p>
        </w:tc>
        <w:tc>
          <w:tcPr>
            <w:tcW w:w="0" w:type="auto"/>
            <w:vAlign w:val="center"/>
          </w:tcPr>
          <w:p w14:paraId="17E445B9">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sz w:val="18"/>
                <w:szCs w:val="18"/>
              </w:rPr>
              <w:t>≥</w:t>
            </w:r>
            <w:r>
              <w:rPr>
                <w:rFonts w:hint="eastAsia" w:ascii="宋体" w:hAnsi="宋体" w:eastAsia="宋体" w:cs="宋体"/>
                <w:color w:val="000000" w:themeColor="text1"/>
                <w:sz w:val="18"/>
                <w:szCs w:val="18"/>
                <w14:textFill>
                  <w14:solidFill>
                    <w14:schemeClr w14:val="tx1"/>
                  </w14:solidFill>
                </w14:textFill>
              </w:rPr>
              <w:t>100且＜300</w:t>
            </w:r>
          </w:p>
        </w:tc>
        <w:tc>
          <w:tcPr>
            <w:tcW w:w="0" w:type="auto"/>
            <w:vAlign w:val="center"/>
          </w:tcPr>
          <w:p w14:paraId="1E650136">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m:oMathPara>
              <m:oMath>
                <m:r>
                  <m:rPr>
                    <m:sty m:val="p"/>
                  </m:rPr>
                  <w:rPr>
                    <w:rFonts w:hint="eastAsia" w:ascii="Cambria Math" w:hAnsi="Cambria Math" w:eastAsia="宋体" w:cs="宋体"/>
                    <w:color w:val="000000" w:themeColor="text1"/>
                    <w:sz w:val="18"/>
                    <w:szCs w:val="18"/>
                    <w14:textFill>
                      <w14:solidFill>
                        <w14:schemeClr w14:val="tx1"/>
                      </w14:solidFill>
                    </w14:textFill>
                  </w:rPr>
                  <m:t>9/</m:t>
                </m:r>
                <m:rad>
                  <m:radPr>
                    <m:degHide m:val="1"/>
                    <m:ctrlPr>
                      <w:rPr>
                        <w:rFonts w:hint="eastAsia" w:ascii="Cambria Math" w:hAnsi="Cambria Math" w:eastAsia="宋体" w:cs="宋体"/>
                        <w:color w:val="000000" w:themeColor="text1"/>
                        <w:sz w:val="18"/>
                        <w:szCs w:val="18"/>
                        <w14:textFill>
                          <w14:solidFill>
                            <w14:schemeClr w14:val="tx1"/>
                          </w14:solidFill>
                        </w14:textFill>
                      </w:rPr>
                    </m:ctrlPr>
                  </m:radPr>
                  <m:deg>
                    <m:ctrlPr>
                      <w:rPr>
                        <w:rFonts w:hint="eastAsia" w:ascii="Cambria Math" w:hAnsi="Cambria Math" w:eastAsia="宋体" w:cs="宋体"/>
                        <w:color w:val="000000" w:themeColor="text1"/>
                        <w:sz w:val="18"/>
                        <w:szCs w:val="18"/>
                        <w14:textFill>
                          <w14:solidFill>
                            <w14:schemeClr w14:val="tx1"/>
                          </w14:solidFill>
                        </w14:textFill>
                      </w:rPr>
                    </m:ctrlPr>
                  </m:deg>
                  <m:e>
                    <m:r>
                      <m:rPr/>
                      <w:rPr>
                        <w:rFonts w:hint="eastAsia" w:ascii="Cambria Math" w:hAnsi="Cambria Math" w:eastAsia="宋体" w:cs="宋体"/>
                        <w:color w:val="000000" w:themeColor="text1"/>
                        <w:sz w:val="18"/>
                        <w:szCs w:val="18"/>
                        <w14:textFill>
                          <w14:solidFill>
                            <w14:schemeClr w14:val="tx1"/>
                          </w14:solidFill>
                        </w14:textFill>
                      </w:rPr>
                      <m:t>n</m:t>
                    </m:r>
                    <m:ctrlPr>
                      <w:rPr>
                        <w:rFonts w:hint="eastAsia" w:ascii="Cambria Math" w:hAnsi="Cambria Math" w:eastAsia="宋体" w:cs="宋体"/>
                        <w:color w:val="000000" w:themeColor="text1"/>
                        <w:sz w:val="18"/>
                        <w:szCs w:val="18"/>
                        <w14:textFill>
                          <w14:solidFill>
                            <w14:schemeClr w14:val="tx1"/>
                          </w14:solidFill>
                        </w14:textFill>
                      </w:rPr>
                    </m:ctrlPr>
                  </m:e>
                </m:rad>
              </m:oMath>
            </m:oMathPara>
          </w:p>
        </w:tc>
        <w:tc>
          <w:tcPr>
            <w:tcW w:w="0" w:type="auto"/>
            <w:vAlign w:val="center"/>
          </w:tcPr>
          <w:p w14:paraId="5F1625DF">
            <w:pPr>
              <w:pStyle w:val="234"/>
              <w:spacing w:line="240" w:lineRule="exact"/>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≤1/24000</w:t>
            </w:r>
          </w:p>
        </w:tc>
      </w:tr>
      <w:tr w14:paraId="28E9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gridSpan w:val="4"/>
            <w:vAlign w:val="center"/>
          </w:tcPr>
          <w:p w14:paraId="58DFC3FD">
            <w:pPr>
              <w:pStyle w:val="234"/>
              <w:spacing w:line="240" w:lineRule="exact"/>
              <w:ind w:firstLine="0" w:firstLineChars="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w:t>
            </w:r>
            <m:oMath>
              <m:r>
                <m:rPr/>
                <w:rPr>
                  <w:rFonts w:hint="eastAsia" w:ascii="Cambria Math" w:hAnsi="Cambria Math" w:eastAsia="宋体" w:cs="宋体"/>
                  <w:color w:val="000000" w:themeColor="text1"/>
                  <w:sz w:val="18"/>
                  <w:szCs w:val="18"/>
                  <w14:textFill>
                    <w14:solidFill>
                      <w14:schemeClr w14:val="tx1"/>
                    </w14:solidFill>
                  </w14:textFill>
                </w:rPr>
                <m:t>n</m:t>
              </m:r>
            </m:oMath>
            <w:r>
              <w:rPr>
                <w:rFonts w:hint="eastAsia" w:ascii="宋体" w:hAnsi="宋体" w:eastAsia="宋体" w:cs="宋体"/>
                <w:color w:val="000000" w:themeColor="text1"/>
                <w:sz w:val="18"/>
                <w:szCs w:val="18"/>
                <w14:textFill>
                  <w14:solidFill>
                    <w14:schemeClr w14:val="tx1"/>
                  </w14:solidFill>
                </w14:textFill>
              </w:rPr>
              <w:t>为</w:t>
            </w:r>
            <w:bookmarkStart w:id="55" w:name="OLE_LINK2"/>
            <w:bookmarkStart w:id="56" w:name="OLE_LINK1"/>
            <w:r>
              <w:rPr>
                <w:rFonts w:hint="eastAsia" w:ascii="宋体" w:hAnsi="宋体" w:eastAsia="宋体" w:cs="宋体"/>
                <w:color w:val="000000" w:themeColor="text1"/>
                <w:sz w:val="18"/>
                <w:szCs w:val="18"/>
                <w14:textFill>
                  <w14:solidFill>
                    <w14:schemeClr w14:val="tx1"/>
                  </w14:solidFill>
                </w14:textFill>
              </w:rPr>
              <w:t>建筑结构的跨数</w:t>
            </w:r>
            <w:bookmarkEnd w:id="55"/>
            <w:bookmarkEnd w:id="56"/>
            <w:r>
              <w:rPr>
                <w:rFonts w:hint="eastAsia" w:ascii="宋体" w:hAnsi="宋体" w:eastAsia="宋体" w:cs="宋体"/>
                <w:color w:val="000000" w:themeColor="text1"/>
                <w:sz w:val="18"/>
                <w:szCs w:val="18"/>
                <w14:textFill>
                  <w14:solidFill>
                    <w14:schemeClr w14:val="tx1"/>
                  </w14:solidFill>
                </w14:textFill>
              </w:rPr>
              <w:t>。</w:t>
            </w:r>
          </w:p>
        </w:tc>
      </w:tr>
    </w:tbl>
    <w:p w14:paraId="3DE01814">
      <w:pPr>
        <w:pStyle w:val="69"/>
        <w:spacing w:before="120" w:after="120"/>
        <w:ind w:left="0"/>
        <w:rPr>
          <w:rFonts w:ascii="宋体" w:hAnsi="宋体" w:eastAsia="宋体"/>
        </w:rPr>
      </w:pPr>
      <w:r>
        <w:rPr>
          <w:rFonts w:hint="eastAsia" w:ascii="宋体" w:hAnsi="宋体" w:eastAsia="宋体"/>
        </w:rPr>
        <w:t>根据施工需要将建筑外部控制转移至内部时，内控点宜埋设在结构楼板上，引测的投点误差应不大于1.5mm。 投测完成后应进行内控点相对关系的检查，其角度和边长较差应符合表5的规定。</w:t>
      </w:r>
    </w:p>
    <w:p w14:paraId="1CB22769">
      <w:pPr>
        <w:pStyle w:val="109"/>
        <w:spacing w:before="120" w:after="120"/>
        <w:ind w:left="0"/>
        <w:rPr>
          <w:rFonts w:hAnsi="黑体"/>
          <w:color w:val="FF0000"/>
        </w:rPr>
      </w:pPr>
      <w:bookmarkStart w:id="57" w:name="_Toc203213036"/>
      <w:r>
        <w:rPr>
          <w:rFonts w:hint="eastAsia" w:hAnsi="黑体"/>
          <w:color w:val="000000" w:themeColor="text1"/>
          <w14:textFill>
            <w14:solidFill>
              <w14:schemeClr w14:val="tx1"/>
            </w14:solidFill>
          </w14:textFill>
        </w:rPr>
        <w:t>轴线竖向传递</w:t>
      </w:r>
      <w:bookmarkEnd w:id="57"/>
    </w:p>
    <w:p w14:paraId="00D71F61">
      <w:pPr>
        <w:pStyle w:val="69"/>
        <w:spacing w:before="120" w:after="120"/>
        <w:ind w:left="0"/>
        <w:rPr>
          <w:rFonts w:ascii="宋体" w:hAnsi="宋体" w:eastAsia="宋体"/>
        </w:rPr>
      </w:pPr>
      <w:r>
        <w:rPr>
          <w:rFonts w:hint="eastAsia" w:ascii="宋体" w:hAnsi="宋体" w:eastAsia="宋体"/>
        </w:rPr>
        <w:t>轴线竖向传递测量宜采用内控法进行测量，内控法布网应考虑下列因素、建筑外廓及形状、核心筒布置、结构及施工顺序。</w:t>
      </w:r>
    </w:p>
    <w:p w14:paraId="58FA5BD0">
      <w:pPr>
        <w:pStyle w:val="69"/>
        <w:spacing w:before="120" w:after="120"/>
        <w:ind w:left="0"/>
        <w:rPr>
          <w:rFonts w:ascii="宋体" w:hAnsi="宋体" w:eastAsia="宋体"/>
        </w:rPr>
      </w:pPr>
      <w:r>
        <w:rPr>
          <w:rFonts w:hint="eastAsia" w:ascii="宋体" w:hAnsi="宋体" w:eastAsia="宋体"/>
        </w:rPr>
        <w:t>内控法进行轴线竖向传递，其基准点宜采用强制对中装置，在内控点对应各层楼板位置预留200mm×200mm孔洞，各楼层孔洞应在同一铅垂线上，以便轴线竖向传递。</w:t>
      </w:r>
    </w:p>
    <w:p w14:paraId="27B2A474">
      <w:pPr>
        <w:pStyle w:val="69"/>
        <w:spacing w:before="120" w:after="120"/>
        <w:ind w:left="0"/>
        <w:rPr>
          <w:rFonts w:ascii="宋体" w:hAnsi="宋体" w:eastAsia="宋体"/>
        </w:rPr>
      </w:pPr>
      <w:r>
        <w:rPr>
          <w:rFonts w:hint="eastAsia" w:ascii="宋体" w:hAnsi="宋体" w:eastAsia="宋体"/>
        </w:rPr>
        <w:t>轴线竖向传递应满足表6的技术要求，宜使用精度不低于1/200000的激光铅垂设备或测角精度不低于0.5″的全站仪，并应在同层对传递的内控网边长和角度进行闭合检测。</w:t>
      </w:r>
    </w:p>
    <w:p w14:paraId="621D4DDD">
      <w:pPr>
        <w:pStyle w:val="69"/>
        <w:spacing w:before="120" w:after="120"/>
        <w:ind w:left="0"/>
        <w:rPr>
          <w:rFonts w:ascii="宋体" w:hAnsi="宋体" w:eastAsia="宋体"/>
        </w:rPr>
      </w:pPr>
      <w:r>
        <w:rPr>
          <w:rFonts w:hint="eastAsia" w:ascii="宋体" w:hAnsi="宋体" w:eastAsia="宋体"/>
        </w:rPr>
        <w:t>结构高度在100~200m时，每层应设置不少于4个轴线控制点；当结构高度大于200m时，每层宜设置包括中心点在内的不少于5个轴线控制点。轴线控制点应以不同的测设方法进行校核，投点较差不应大于3mm。</w:t>
      </w:r>
    </w:p>
    <w:p w14:paraId="6E80EB61">
      <w:pPr>
        <w:pStyle w:val="69"/>
        <w:spacing w:before="120" w:after="120"/>
        <w:ind w:left="0"/>
        <w:rPr>
          <w:rFonts w:ascii="宋体" w:hAnsi="宋体" w:eastAsia="宋体"/>
        </w:rPr>
      </w:pPr>
      <w:r>
        <w:rPr>
          <w:rFonts w:hint="eastAsia" w:ascii="宋体" w:hAnsi="宋体" w:eastAsia="宋体"/>
        </w:rPr>
        <w:t>当建筑高度超出投测仪器量程时应建立接力层。接力层设置应充分考虑仪器的量程，建筑施工工艺方法、建筑结构形式变化、建筑结构截面变化、建筑架构桁架层等因素。</w:t>
      </w:r>
    </w:p>
    <w:p w14:paraId="3110943E">
      <w:pPr>
        <w:pStyle w:val="69"/>
        <w:spacing w:before="120" w:after="120"/>
        <w:ind w:left="0"/>
        <w:rPr>
          <w:rFonts w:ascii="宋体" w:hAnsi="宋体" w:eastAsia="宋体"/>
        </w:rPr>
      </w:pPr>
      <w:r>
        <w:rPr>
          <w:rFonts w:hint="eastAsia" w:ascii="宋体" w:hAnsi="宋体" w:eastAsia="宋体"/>
        </w:rPr>
        <w:t>轴线控制点竖向传递需要分段接力时，接力层控制点应设置在已浇筑完混凝土的楼层内，每次传递轴线控制点时，应从首个基准层顺次向上逐段传递，总高度大于300m的建筑物，应采用GNSS静态观测校核法、基准线闭合网校核法等对接力层和屋面层控制点进行校核。</w:t>
      </w:r>
    </w:p>
    <w:p w14:paraId="2B879F81">
      <w:pPr>
        <w:pStyle w:val="69"/>
        <w:spacing w:before="120" w:after="120"/>
        <w:ind w:left="0"/>
        <w:rPr>
          <w:rFonts w:ascii="宋体" w:hAnsi="宋体" w:eastAsia="宋体"/>
        </w:rPr>
      </w:pPr>
      <w:r>
        <w:rPr>
          <w:rFonts w:hint="eastAsia" w:ascii="宋体" w:hAnsi="宋体" w:eastAsia="宋体"/>
        </w:rPr>
        <w:t>激光铅垂设备或全站仪应采用铅垂度自校法消除仪器误差及人为操作误差。</w:t>
      </w:r>
    </w:p>
    <w:p w14:paraId="0081B4E6">
      <w:pPr>
        <w:pStyle w:val="69"/>
        <w:spacing w:before="120" w:after="120"/>
        <w:ind w:left="0"/>
        <w:rPr>
          <w:rFonts w:ascii="宋体" w:hAnsi="宋体" w:eastAsia="宋体"/>
        </w:rPr>
      </w:pPr>
      <w:r>
        <w:rPr>
          <w:rFonts w:hint="eastAsia" w:ascii="宋体" w:hAnsi="宋体" w:eastAsia="宋体"/>
        </w:rPr>
        <w:t>轴线竖向传递作业时，应合理进行施工部署，避开大型设备施工作业时段。选取合适的测量时机，应避开强烈日照、五级以上大风和恶劣气候环境下作业。</w:t>
      </w:r>
    </w:p>
    <w:p w14:paraId="133FD9D8">
      <w:pPr>
        <w:pStyle w:val="69"/>
        <w:spacing w:before="120" w:after="120"/>
        <w:ind w:left="0"/>
        <w:rPr>
          <w:rFonts w:ascii="宋体" w:hAnsi="宋体" w:eastAsia="宋体"/>
        </w:rPr>
      </w:pPr>
      <w:r>
        <w:rPr>
          <w:rFonts w:hint="eastAsia" w:ascii="宋体" w:hAnsi="宋体" w:eastAsia="宋体"/>
        </w:rPr>
        <w:t>控制轴线投测至施工层后，应组成闭合图形，并进行校测，投测允许误差应符合表6的规定，如有设计要求应符合设计要求，但不应低于表6规定。</w:t>
      </w:r>
    </w:p>
    <w:p w14:paraId="3AE9DC66">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6</w:t>
      </w:r>
      <w:r>
        <w:rPr>
          <w:rFonts w:hint="eastAsia" w:ascii="黑体" w:hAnsi="黑体" w:eastAsia="黑体"/>
          <w:bCs/>
          <w:color w:val="000000" w:themeColor="text1"/>
          <w14:textFill>
            <w14:solidFill>
              <w14:schemeClr w14:val="tx1"/>
            </w14:solidFill>
          </w14:textFill>
        </w:rPr>
        <w:t>轴线竖向投测允许偏差</w:t>
      </w:r>
    </w:p>
    <w:tbl>
      <w:tblPr>
        <w:tblStyle w:val="29"/>
        <w:tblW w:w="3500" w:type="pct"/>
        <w:jc w:val="center"/>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3059"/>
        <w:gridCol w:w="2798"/>
      </w:tblGrid>
      <w:tr w14:paraId="45851A8C">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9" w:type="dxa"/>
            <w:gridSpan w:val="2"/>
            <w:tcBorders>
              <w:top w:val="single" w:color="auto" w:sz="8" w:space="0"/>
              <w:left w:val="single" w:color="auto" w:sz="4" w:space="0"/>
            </w:tcBorders>
            <w:vAlign w:val="center"/>
          </w:tcPr>
          <w:p w14:paraId="06740426">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项目</w:t>
            </w:r>
          </w:p>
        </w:tc>
        <w:tc>
          <w:tcPr>
            <w:tcW w:w="2732" w:type="dxa"/>
            <w:tcBorders>
              <w:top w:val="single" w:color="auto" w:sz="8" w:space="0"/>
            </w:tcBorders>
            <w:vAlign w:val="center"/>
          </w:tcPr>
          <w:p w14:paraId="04D10372">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允许</w:t>
            </w:r>
            <w:r>
              <w:rPr>
                <w:rFonts w:hint="eastAsia" w:ascii="宋体" w:hAnsi="宋体"/>
                <w:color w:val="000000" w:themeColor="text1"/>
                <w:sz w:val="18"/>
                <w:szCs w:val="18"/>
                <w14:textFill>
                  <w14:solidFill>
                    <w14:schemeClr w14:val="tx1"/>
                  </w14:solidFill>
                </w14:textFill>
              </w:rPr>
              <w:t>偏</w:t>
            </w:r>
            <w:r>
              <w:rPr>
                <w:rFonts w:ascii="宋体" w:hAnsi="宋体"/>
                <w:color w:val="000000" w:themeColor="text1"/>
                <w:sz w:val="18"/>
                <w:szCs w:val="18"/>
                <w14:textFill>
                  <w14:solidFill>
                    <w14:schemeClr w14:val="tx1"/>
                  </w14:solidFill>
                </w14:textFill>
              </w:rPr>
              <w:t>差</w:t>
            </w: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mm</w:t>
            </w:r>
          </w:p>
        </w:tc>
      </w:tr>
      <w:tr w14:paraId="0CCA2191">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9" w:type="dxa"/>
            <w:gridSpan w:val="2"/>
            <w:tcBorders>
              <w:left w:val="single" w:color="auto" w:sz="4" w:space="0"/>
            </w:tcBorders>
            <w:vAlign w:val="center"/>
          </w:tcPr>
          <w:p w14:paraId="58163A48">
            <w:pPr>
              <w:spacing w:line="240" w:lineRule="auto"/>
              <w:ind w:right="630" w:rightChars="300"/>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每层</w:t>
            </w:r>
          </w:p>
        </w:tc>
        <w:tc>
          <w:tcPr>
            <w:tcW w:w="2732" w:type="dxa"/>
            <w:vAlign w:val="center"/>
          </w:tcPr>
          <w:p w14:paraId="5DAD7BC2">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w:t>
            </w:r>
          </w:p>
        </w:tc>
      </w:tr>
      <w:tr w14:paraId="7B58B62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restart"/>
            <w:tcBorders>
              <w:left w:val="single" w:color="auto" w:sz="4" w:space="0"/>
            </w:tcBorders>
            <w:tcMar>
              <w:left w:w="0" w:type="dxa"/>
              <w:right w:w="0" w:type="dxa"/>
            </w:tcMar>
            <w:vAlign w:val="center"/>
          </w:tcPr>
          <w:p w14:paraId="18E44843">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总高</w:t>
            </w:r>
            <w:r>
              <w:rPr>
                <w:rFonts w:ascii="宋体" w:hAnsi="宋体"/>
                <w:i/>
                <w:iCs/>
                <w:color w:val="000000" w:themeColor="text1"/>
                <w:sz w:val="18"/>
                <w:szCs w:val="18"/>
                <w14:textFill>
                  <w14:solidFill>
                    <w14:schemeClr w14:val="tx1"/>
                  </w14:solidFill>
                </w14:textFill>
              </w:rPr>
              <w:t>H</w:t>
            </w:r>
          </w:p>
          <w:p w14:paraId="1F2537BA">
            <w:pPr>
              <w:spacing w:line="240" w:lineRule="auto"/>
              <w:jc w:val="center"/>
              <w:rPr>
                <w:rFonts w:ascii="宋体" w:hAnsi="宋体"/>
                <w:color w:val="000000" w:themeColor="text1"/>
                <w:sz w:val="18"/>
                <w:szCs w:val="18"/>
                <w14:textFill>
                  <w14:solidFill>
                    <w14:schemeClr w14:val="tx1"/>
                  </w14:solidFill>
                </w14:textFill>
              </w:rPr>
            </w:pPr>
          </w:p>
          <w:p w14:paraId="79A765DD">
            <w:pPr>
              <w:spacing w:line="240" w:lineRule="auto"/>
              <w:jc w:val="center"/>
              <w:rPr>
                <w:rFonts w:ascii="宋体" w:hAnsi="宋体"/>
                <w:i/>
                <w:i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（m）</w:t>
            </w:r>
          </w:p>
        </w:tc>
        <w:tc>
          <w:tcPr>
            <w:tcW w:w="2987" w:type="dxa"/>
            <w:tcBorders>
              <w:left w:val="nil"/>
            </w:tcBorders>
            <w:tcMar>
              <w:left w:w="0" w:type="dxa"/>
              <w:right w:w="0" w:type="dxa"/>
            </w:tcMar>
            <w:vAlign w:val="center"/>
          </w:tcPr>
          <w:p w14:paraId="20B0F70F">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≤30</w:t>
            </w:r>
          </w:p>
        </w:tc>
        <w:tc>
          <w:tcPr>
            <w:tcW w:w="2732" w:type="dxa"/>
            <w:tcMar>
              <w:left w:w="0" w:type="dxa"/>
              <w:right w:w="0" w:type="dxa"/>
            </w:tcMar>
            <w:vAlign w:val="center"/>
          </w:tcPr>
          <w:p w14:paraId="619A3E6B">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w:t>
            </w:r>
          </w:p>
        </w:tc>
      </w:tr>
      <w:tr w14:paraId="19B21CA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2C0B541D">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4C146C58">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≤60</w:t>
            </w:r>
          </w:p>
        </w:tc>
        <w:tc>
          <w:tcPr>
            <w:tcW w:w="2732" w:type="dxa"/>
            <w:tcMar>
              <w:left w:w="0" w:type="dxa"/>
              <w:right w:w="0" w:type="dxa"/>
            </w:tcMar>
            <w:vAlign w:val="center"/>
          </w:tcPr>
          <w:p w14:paraId="6FE5AAC5">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8</w:t>
            </w:r>
          </w:p>
        </w:tc>
      </w:tr>
      <w:tr w14:paraId="580A8892">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731E3AF9">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01E8A7A4">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60＜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≤90</w:t>
            </w:r>
          </w:p>
        </w:tc>
        <w:tc>
          <w:tcPr>
            <w:tcW w:w="2732" w:type="dxa"/>
            <w:tcMar>
              <w:left w:w="0" w:type="dxa"/>
              <w:right w:w="0" w:type="dxa"/>
            </w:tcMar>
            <w:vAlign w:val="center"/>
          </w:tcPr>
          <w:p w14:paraId="0355E193">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w:t>
            </w:r>
          </w:p>
        </w:tc>
      </w:tr>
      <w:tr w14:paraId="31D3E19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7E0A54DD">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34F30D94">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90＜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≤120</w:t>
            </w:r>
          </w:p>
        </w:tc>
        <w:tc>
          <w:tcPr>
            <w:tcW w:w="2732" w:type="dxa"/>
            <w:tcMar>
              <w:left w:w="0" w:type="dxa"/>
              <w:right w:w="0" w:type="dxa"/>
            </w:tcMar>
            <w:vAlign w:val="center"/>
          </w:tcPr>
          <w:p w14:paraId="4BAF4BD6">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16</w:t>
            </w:r>
          </w:p>
        </w:tc>
      </w:tr>
      <w:tr w14:paraId="0F117491">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77A20178">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7D2C04D2">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≤150</w:t>
            </w:r>
          </w:p>
        </w:tc>
        <w:tc>
          <w:tcPr>
            <w:tcW w:w="2732" w:type="dxa"/>
            <w:tcMar>
              <w:left w:w="0" w:type="dxa"/>
              <w:right w:w="0" w:type="dxa"/>
            </w:tcMar>
            <w:vAlign w:val="center"/>
          </w:tcPr>
          <w:p w14:paraId="1E7F8655">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20</w:t>
            </w:r>
          </w:p>
        </w:tc>
      </w:tr>
      <w:tr w14:paraId="31962052">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0F0F37F7">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413D0637">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150＜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≤300</w:t>
            </w:r>
          </w:p>
        </w:tc>
        <w:tc>
          <w:tcPr>
            <w:tcW w:w="2732" w:type="dxa"/>
            <w:tcMar>
              <w:left w:w="0" w:type="dxa"/>
              <w:right w:w="0" w:type="dxa"/>
            </w:tcMar>
            <w:vAlign w:val="center"/>
          </w:tcPr>
          <w:p w14:paraId="0E847368">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24</w:t>
            </w:r>
          </w:p>
        </w:tc>
      </w:tr>
      <w:tr w14:paraId="0F01D598">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260A2F5E">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6A91775D">
            <w:pPr>
              <w:spacing w:line="240" w:lineRule="auto"/>
              <w:ind w:left="-29" w:leftChars="-14"/>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≤500</w:t>
            </w:r>
          </w:p>
        </w:tc>
        <w:tc>
          <w:tcPr>
            <w:tcW w:w="2732" w:type="dxa"/>
            <w:tcMar>
              <w:left w:w="0" w:type="dxa"/>
              <w:right w:w="0" w:type="dxa"/>
            </w:tcMar>
            <w:vAlign w:val="center"/>
          </w:tcPr>
          <w:p w14:paraId="74C38A9E">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/12500</w:t>
            </w:r>
          </w:p>
        </w:tc>
      </w:tr>
      <w:tr w14:paraId="31F77DF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 w:type="dxa"/>
            <w:vMerge w:val="continue"/>
            <w:tcBorders>
              <w:left w:val="single" w:color="auto" w:sz="4" w:space="0"/>
            </w:tcBorders>
            <w:vAlign w:val="center"/>
          </w:tcPr>
          <w:p w14:paraId="4700E691">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87" w:type="dxa"/>
            <w:tcBorders>
              <w:left w:val="nil"/>
            </w:tcBorders>
            <w:tcMar>
              <w:left w:w="0" w:type="dxa"/>
              <w:right w:w="0" w:type="dxa"/>
            </w:tcMar>
            <w:vAlign w:val="center"/>
          </w:tcPr>
          <w:p w14:paraId="6CA2B658">
            <w:pPr>
              <w:spacing w:line="240" w:lineRule="auto"/>
              <w:ind w:left="-29" w:leftChars="-14"/>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500＜</w:t>
            </w:r>
            <w:r>
              <w:rPr>
                <w:rFonts w:ascii="宋体" w:hAnsi="宋体"/>
                <w:i/>
                <w:color w:val="000000" w:themeColor="text1"/>
                <w:sz w:val="18"/>
                <w:szCs w:val="18"/>
                <w14:textFill>
                  <w14:solidFill>
                    <w14:schemeClr w14:val="tx1"/>
                  </w14:solidFill>
                </w14:textFill>
              </w:rPr>
              <w:t>H</w:t>
            </w:r>
          </w:p>
        </w:tc>
        <w:tc>
          <w:tcPr>
            <w:tcW w:w="2732" w:type="dxa"/>
            <w:tcMar>
              <w:left w:w="0" w:type="dxa"/>
              <w:right w:w="0" w:type="dxa"/>
            </w:tcMar>
            <w:vAlign w:val="center"/>
          </w:tcPr>
          <w:p w14:paraId="484F0CB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40</w:t>
            </w:r>
          </w:p>
        </w:tc>
      </w:tr>
    </w:tbl>
    <w:p w14:paraId="1E20B27A">
      <w:pPr>
        <w:pStyle w:val="109"/>
        <w:spacing w:before="120" w:after="120"/>
        <w:ind w:left="0"/>
        <w:rPr>
          <w:rFonts w:hAnsi="黑体"/>
          <w:color w:val="000000" w:themeColor="text1"/>
          <w14:textFill>
            <w14:solidFill>
              <w14:schemeClr w14:val="tx1"/>
            </w14:solidFill>
          </w14:textFill>
        </w:rPr>
      </w:pPr>
      <w:bookmarkStart w:id="58" w:name="_Toc203213037"/>
      <w:r>
        <w:rPr>
          <w:rFonts w:hint="eastAsia" w:hAnsi="黑体"/>
          <w:color w:val="000000" w:themeColor="text1"/>
          <w14:textFill>
            <w14:solidFill>
              <w14:schemeClr w14:val="tx1"/>
            </w14:solidFill>
          </w14:textFill>
        </w:rPr>
        <w:t>数据处理</w:t>
      </w:r>
      <w:bookmarkEnd w:id="58"/>
    </w:p>
    <w:p w14:paraId="05882444">
      <w:pPr>
        <w:pStyle w:val="69"/>
        <w:spacing w:before="120" w:after="120"/>
        <w:ind w:left="0"/>
        <w:rPr>
          <w:rFonts w:ascii="宋体" w:hAnsi="宋体" w:eastAsia="宋体"/>
        </w:rPr>
      </w:pPr>
      <w:r>
        <w:rPr>
          <w:rFonts w:hint="eastAsia" w:ascii="宋体" w:hAnsi="宋体" w:eastAsia="宋体"/>
        </w:rPr>
        <w:t>观测工作结束后，应及时整理和检查外业资料，须经两人独立检核、确认合格有效后方可使用。</w:t>
      </w:r>
    </w:p>
    <w:p w14:paraId="576E28DF">
      <w:pPr>
        <w:pStyle w:val="69"/>
        <w:spacing w:before="120" w:after="120"/>
        <w:ind w:left="0"/>
        <w:rPr>
          <w:rFonts w:ascii="宋体" w:hAnsi="宋体" w:eastAsia="宋体"/>
        </w:rPr>
      </w:pPr>
      <w:r>
        <w:rPr>
          <w:rFonts w:hint="eastAsia" w:ascii="宋体" w:hAnsi="宋体" w:eastAsia="宋体"/>
        </w:rPr>
        <w:t>数据计算校核指标应符合GB 50026的规定。</w:t>
      </w:r>
    </w:p>
    <w:p w14:paraId="38C77B8A">
      <w:pPr>
        <w:pStyle w:val="69"/>
        <w:spacing w:before="120" w:after="120"/>
        <w:ind w:left="0"/>
        <w:rPr>
          <w:rFonts w:ascii="宋体" w:hAnsi="宋体" w:eastAsia="宋体"/>
        </w:rPr>
      </w:pPr>
      <w:r>
        <w:rPr>
          <w:rFonts w:hint="eastAsia" w:ascii="宋体" w:hAnsi="宋体" w:eastAsia="宋体"/>
        </w:rPr>
        <w:t>计算数字的取位应符合表</w:t>
      </w:r>
      <w:r>
        <w:rPr>
          <w:rFonts w:ascii="宋体" w:hAnsi="宋体" w:eastAsia="宋体"/>
        </w:rPr>
        <w:t>7</w:t>
      </w:r>
      <w:r>
        <w:rPr>
          <w:rFonts w:hint="eastAsia" w:ascii="宋体" w:hAnsi="宋体" w:eastAsia="宋体"/>
        </w:rPr>
        <w:t>的规定。</w:t>
      </w:r>
    </w:p>
    <w:p w14:paraId="38570C69">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7</w:t>
      </w:r>
      <w:r>
        <w:rPr>
          <w:rFonts w:hint="eastAsia" w:ascii="黑体" w:hAnsi="黑体" w:eastAsia="黑体"/>
          <w:bCs/>
          <w:color w:val="000000" w:themeColor="text1"/>
          <w14:textFill>
            <w14:solidFill>
              <w14:schemeClr w14:val="tx1"/>
            </w14:solidFill>
          </w14:textFill>
        </w:rPr>
        <w:t xml:space="preserve"> 计算数字的取位</w:t>
      </w:r>
    </w:p>
    <w:tbl>
      <w:tblPr>
        <w:tblStyle w:val="29"/>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1702"/>
        <w:gridCol w:w="1885"/>
        <w:gridCol w:w="1704"/>
        <w:gridCol w:w="1705"/>
      </w:tblGrid>
      <w:tr w14:paraId="522AF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7" w:type="dxa"/>
            <w:vAlign w:val="center"/>
          </w:tcPr>
          <w:p w14:paraId="0FC901D8">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等级</w:t>
            </w:r>
          </w:p>
        </w:tc>
        <w:tc>
          <w:tcPr>
            <w:tcW w:w="1723" w:type="dxa"/>
            <w:vAlign w:val="center"/>
          </w:tcPr>
          <w:p w14:paraId="335479AF">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方向观测值及各项改正数</w:t>
            </w:r>
            <w:r>
              <w:rPr>
                <w:rFonts w:hint="eastAsia" w:hAnsi="宋体"/>
                <w:color w:val="000000" w:themeColor="text1"/>
                <w:sz w:val="18"/>
                <w:szCs w:val="18"/>
                <w14:textFill>
                  <w14:solidFill>
                    <w14:schemeClr w14:val="tx1"/>
                  </w14:solidFill>
                </w14:textFill>
              </w:rPr>
              <w:t>/</w:t>
            </w:r>
            <w:r>
              <w:rPr>
                <w:rFonts w:hAnsi="宋体"/>
                <w:color w:val="000000" w:themeColor="text1"/>
                <w:sz w:val="18"/>
                <w:szCs w:val="18"/>
                <w14:textFill>
                  <w14:solidFill>
                    <w14:schemeClr w14:val="tx1"/>
                  </w14:solidFill>
                </w14:textFill>
              </w:rPr>
              <w:t>″</w:t>
            </w:r>
          </w:p>
        </w:tc>
        <w:tc>
          <w:tcPr>
            <w:tcW w:w="1910" w:type="dxa"/>
            <w:vAlign w:val="center"/>
          </w:tcPr>
          <w:p w14:paraId="2B97FE92">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边长观测值及各项改正数</w:t>
            </w:r>
            <w:r>
              <w:rPr>
                <w:rFonts w:hint="eastAsia" w:hAnsi="宋体"/>
                <w:color w:val="000000" w:themeColor="text1"/>
                <w:sz w:val="18"/>
                <w:szCs w:val="18"/>
                <w14:textFill>
                  <w14:solidFill>
                    <w14:schemeClr w14:val="tx1"/>
                  </w14:solidFill>
                </w14:textFill>
              </w:rPr>
              <w:t>/</w:t>
            </w:r>
            <w:r>
              <w:rPr>
                <w:rFonts w:hAnsi="宋体"/>
                <w:iCs/>
                <w:color w:val="000000" w:themeColor="text1"/>
                <w:sz w:val="18"/>
                <w:szCs w:val="18"/>
                <w14:textFill>
                  <w14:solidFill>
                    <w14:schemeClr w14:val="tx1"/>
                  </w14:solidFill>
                </w14:textFill>
              </w:rPr>
              <w:t>m</w:t>
            </w:r>
          </w:p>
        </w:tc>
        <w:tc>
          <w:tcPr>
            <w:tcW w:w="1725" w:type="dxa"/>
            <w:vAlign w:val="center"/>
          </w:tcPr>
          <w:p w14:paraId="72755EAD">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边长与坐标</w:t>
            </w:r>
          </w:p>
          <w:p w14:paraId="4BA5F429">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w:t>
            </w:r>
            <w:r>
              <w:rPr>
                <w:rFonts w:hAnsi="宋体"/>
                <w:iCs/>
                <w:color w:val="000000" w:themeColor="text1"/>
                <w:sz w:val="18"/>
                <w:szCs w:val="18"/>
                <w14:textFill>
                  <w14:solidFill>
                    <w14:schemeClr w14:val="tx1"/>
                  </w14:solidFill>
                </w14:textFill>
              </w:rPr>
              <w:t>m</w:t>
            </w:r>
          </w:p>
        </w:tc>
        <w:tc>
          <w:tcPr>
            <w:tcW w:w="1726" w:type="dxa"/>
            <w:vAlign w:val="center"/>
          </w:tcPr>
          <w:p w14:paraId="5D76F2FC">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方位角</w:t>
            </w:r>
            <w:r>
              <w:rPr>
                <w:rFonts w:hint="eastAsia" w:hAnsi="宋体"/>
                <w:color w:val="000000" w:themeColor="text1"/>
                <w:sz w:val="18"/>
                <w:szCs w:val="18"/>
                <w14:textFill>
                  <w14:solidFill>
                    <w14:schemeClr w14:val="tx1"/>
                  </w14:solidFill>
                </w14:textFill>
              </w:rPr>
              <w:t>/</w:t>
            </w:r>
            <w:r>
              <w:rPr>
                <w:rFonts w:hAnsi="宋体"/>
                <w:color w:val="000000" w:themeColor="text1"/>
                <w:sz w:val="18"/>
                <w:szCs w:val="18"/>
                <w14:textFill>
                  <w14:solidFill>
                    <w14:schemeClr w14:val="tx1"/>
                  </w14:solidFill>
                </w14:textFill>
              </w:rPr>
              <w:t>″</w:t>
            </w:r>
          </w:p>
        </w:tc>
      </w:tr>
      <w:tr w14:paraId="28234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7" w:type="dxa"/>
            <w:vAlign w:val="center"/>
          </w:tcPr>
          <w:p w14:paraId="0ED39FDE">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一、二级</w:t>
            </w:r>
          </w:p>
        </w:tc>
        <w:tc>
          <w:tcPr>
            <w:tcW w:w="1723" w:type="dxa"/>
            <w:vAlign w:val="center"/>
          </w:tcPr>
          <w:p w14:paraId="238F75F2">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0.1</w:t>
            </w:r>
          </w:p>
        </w:tc>
        <w:tc>
          <w:tcPr>
            <w:tcW w:w="1910" w:type="dxa"/>
            <w:vAlign w:val="center"/>
          </w:tcPr>
          <w:p w14:paraId="366C2217">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0.0001</w:t>
            </w:r>
          </w:p>
        </w:tc>
        <w:tc>
          <w:tcPr>
            <w:tcW w:w="1725" w:type="dxa"/>
            <w:vAlign w:val="center"/>
          </w:tcPr>
          <w:p w14:paraId="240CDE6C">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0.0001</w:t>
            </w:r>
          </w:p>
        </w:tc>
        <w:tc>
          <w:tcPr>
            <w:tcW w:w="1726" w:type="dxa"/>
            <w:vAlign w:val="center"/>
          </w:tcPr>
          <w:p w14:paraId="2D3AB717">
            <w:pPr>
              <w:pStyle w:val="234"/>
              <w:spacing w:line="240" w:lineRule="exact"/>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0.1</w:t>
            </w:r>
          </w:p>
        </w:tc>
      </w:tr>
    </w:tbl>
    <w:p w14:paraId="40E346BA">
      <w:pPr>
        <w:pStyle w:val="69"/>
        <w:spacing w:before="120" w:after="120"/>
        <w:ind w:left="0"/>
        <w:rPr>
          <w:rFonts w:ascii="宋体" w:hAnsi="宋体" w:eastAsia="宋体"/>
        </w:rPr>
      </w:pPr>
      <w:r>
        <w:rPr>
          <w:rFonts w:hint="eastAsia" w:ascii="宋体" w:hAnsi="宋体" w:eastAsia="宋体"/>
        </w:rPr>
        <w:t>数据处理完成后，应汇总下列资料：</w:t>
      </w:r>
    </w:p>
    <w:p w14:paraId="07DAD53B">
      <w:pPr>
        <w:numPr>
          <w:ilvl w:val="0"/>
          <w:numId w:val="39"/>
        </w:numPr>
        <w:adjustRightInd/>
        <w:spacing w:before="120" w:beforeLines="50" w:after="120" w:afterLines="50" w:line="240" w:lineRule="auto"/>
      </w:pPr>
      <w:r>
        <w:rPr>
          <w:rFonts w:hint="eastAsia"/>
        </w:rPr>
        <w:t>起算点资料；</w:t>
      </w:r>
    </w:p>
    <w:p w14:paraId="01F54A3A">
      <w:pPr>
        <w:numPr>
          <w:ilvl w:val="0"/>
          <w:numId w:val="39"/>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仪器设备检验资料；</w:t>
      </w:r>
    </w:p>
    <w:p w14:paraId="3D9A4A94">
      <w:pPr>
        <w:numPr>
          <w:ilvl w:val="0"/>
          <w:numId w:val="39"/>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外业观测记录、其他记录；</w:t>
      </w:r>
    </w:p>
    <w:p w14:paraId="13757269">
      <w:pPr>
        <w:numPr>
          <w:ilvl w:val="0"/>
          <w:numId w:val="39"/>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平面控制网图；</w:t>
      </w:r>
    </w:p>
    <w:p w14:paraId="5DAEDEDD">
      <w:pPr>
        <w:numPr>
          <w:ilvl w:val="0"/>
          <w:numId w:val="39"/>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全部内业计算资料及成果表；</w:t>
      </w:r>
    </w:p>
    <w:p w14:paraId="32FDFC04">
      <w:pPr>
        <w:numPr>
          <w:ilvl w:val="0"/>
          <w:numId w:val="39"/>
        </w:numPr>
        <w:adjustRightInd/>
        <w:spacing w:before="120" w:beforeLines="50" w:after="120" w:afterLines="50" w:line="240" w:lineRule="auto"/>
      </w:pPr>
      <w:r>
        <w:rPr>
          <w:rFonts w:hint="eastAsia"/>
        </w:rPr>
        <w:t>控制</w:t>
      </w:r>
      <w:r>
        <w:t>点</w:t>
      </w:r>
      <w:r>
        <w:rPr>
          <w:rFonts w:hint="eastAsia"/>
        </w:rPr>
        <w:t>点</w:t>
      </w:r>
      <w:r>
        <w:t>之记</w:t>
      </w:r>
      <w:r>
        <w:rPr>
          <w:rFonts w:hint="eastAsia"/>
        </w:rPr>
        <w:t>。</w:t>
      </w:r>
    </w:p>
    <w:p w14:paraId="7FAE0571">
      <w:pPr>
        <w:pStyle w:val="108"/>
        <w:spacing w:before="240" w:after="240"/>
      </w:pPr>
      <w:bookmarkStart w:id="59" w:name="_Toc203213038"/>
      <w:r>
        <w:rPr>
          <w:rFonts w:hint="eastAsia"/>
        </w:rPr>
        <w:t>高程控制测量</w:t>
      </w:r>
      <w:bookmarkEnd w:id="59"/>
    </w:p>
    <w:p w14:paraId="7DD98B32">
      <w:pPr>
        <w:pStyle w:val="109"/>
        <w:spacing w:before="120" w:after="120"/>
        <w:ind w:left="0"/>
      </w:pPr>
      <w:bookmarkStart w:id="60" w:name="_Toc203213039"/>
      <w:r>
        <w:rPr>
          <w:rFonts w:hint="eastAsia"/>
        </w:rPr>
        <w:t>一般规定</w:t>
      </w:r>
      <w:bookmarkEnd w:id="60"/>
    </w:p>
    <w:p w14:paraId="07891393">
      <w:pPr>
        <w:pStyle w:val="69"/>
        <w:spacing w:before="120" w:after="120"/>
        <w:ind w:left="0"/>
        <w:rPr>
          <w:rFonts w:ascii="宋体" w:hAnsi="宋体" w:eastAsia="宋体"/>
        </w:rPr>
      </w:pPr>
      <w:r>
        <w:rPr>
          <w:rFonts w:hint="eastAsia" w:ascii="宋体" w:hAnsi="宋体" w:eastAsia="宋体"/>
        </w:rPr>
        <w:t>高程控制网应包括场区高程控制网和建筑高程控制网。</w:t>
      </w:r>
    </w:p>
    <w:p w14:paraId="11E61F25">
      <w:pPr>
        <w:pStyle w:val="69"/>
        <w:spacing w:before="120" w:after="120"/>
        <w:ind w:left="0"/>
        <w:rPr>
          <w:rFonts w:ascii="宋体" w:hAnsi="宋体" w:eastAsia="宋体"/>
        </w:rPr>
      </w:pPr>
      <w:r>
        <w:rPr>
          <w:rFonts w:hint="eastAsia" w:ascii="宋体" w:hAnsi="宋体" w:eastAsia="宋体"/>
        </w:rPr>
        <w:t>高程控制网采用水准测量的方法建立。水准测量的等级可根据建筑高度确定，超过300m（含）的超高层建筑应按一等水准网的相关技术要求布测，超过100m（含）低于300m的超高层建筑应按不低于二等水准网的相关技术要求布测。</w:t>
      </w:r>
    </w:p>
    <w:p w14:paraId="6A35EC33">
      <w:pPr>
        <w:pStyle w:val="69"/>
        <w:spacing w:before="120" w:after="120"/>
        <w:ind w:left="0"/>
        <w:rPr>
          <w:rFonts w:ascii="宋体" w:hAnsi="宋体" w:eastAsia="宋体"/>
        </w:rPr>
      </w:pPr>
      <w:r>
        <w:rPr>
          <w:rFonts w:hint="eastAsia" w:ascii="宋体" w:hAnsi="宋体" w:eastAsia="宋体"/>
        </w:rPr>
        <w:t>场区高程控制网和建筑高程控制网所采用的高程系统，应与建筑规划总平面图中高程系统保持一致。不一致时，应提供两种高程系统的换算关系。</w:t>
      </w:r>
    </w:p>
    <w:p w14:paraId="4E13269F">
      <w:pPr>
        <w:pStyle w:val="69"/>
        <w:spacing w:before="120" w:after="120"/>
        <w:ind w:left="0"/>
        <w:rPr>
          <w:rFonts w:ascii="宋体" w:hAnsi="宋体" w:eastAsia="宋体"/>
        </w:rPr>
      </w:pPr>
      <w:r>
        <w:rPr>
          <w:rFonts w:hint="eastAsia" w:ascii="宋体" w:hAnsi="宋体" w:eastAsia="宋体"/>
        </w:rPr>
        <w:t>高程控制网点应选在地质坚实稳固，便于施测、使用并易于长期保存的地方埋设标石，控制点数量不少于3个。</w:t>
      </w:r>
    </w:p>
    <w:p w14:paraId="2163CD81">
      <w:pPr>
        <w:pStyle w:val="69"/>
        <w:spacing w:before="120" w:after="120"/>
        <w:ind w:left="0"/>
        <w:rPr>
          <w:rFonts w:ascii="宋体" w:hAnsi="宋体" w:eastAsia="宋体"/>
        </w:rPr>
      </w:pPr>
      <w:r>
        <w:rPr>
          <w:rFonts w:hint="eastAsia" w:ascii="宋体" w:hAnsi="宋体" w:eastAsia="宋体"/>
        </w:rPr>
        <w:t>高程控制网点应定期复测，复测周期为一季度1次；当发现控制点有可能变动或当测区受到地震、洪水、爆破等外界因素影响时应立即进行复测，在高程控制网点稳定前应加大复测频率。</w:t>
      </w:r>
    </w:p>
    <w:p w14:paraId="2F248A62">
      <w:pPr>
        <w:pStyle w:val="69"/>
        <w:spacing w:before="120" w:after="120"/>
        <w:ind w:left="0"/>
        <w:rPr>
          <w:rFonts w:ascii="宋体" w:hAnsi="宋体" w:eastAsia="宋体"/>
        </w:rPr>
      </w:pPr>
      <w:r>
        <w:rPr>
          <w:rFonts w:hint="eastAsia" w:ascii="宋体" w:hAnsi="宋体" w:eastAsia="宋体"/>
        </w:rPr>
        <w:t>施工过程中，高程控制网点标识不能保存时，应将控制点高程引测至稳固的建（构）筑物上，引测精度不应低于原控制点的精度等级，并及时补埋、观测、计算高程。</w:t>
      </w:r>
    </w:p>
    <w:p w14:paraId="002A539C">
      <w:pPr>
        <w:pStyle w:val="109"/>
        <w:spacing w:before="120" w:after="120"/>
        <w:ind w:left="0"/>
      </w:pPr>
      <w:bookmarkStart w:id="61" w:name="_Toc203213040"/>
      <w:r>
        <w:rPr>
          <w:rFonts w:hint="eastAsia"/>
        </w:rPr>
        <w:t>场区高程控制测量</w:t>
      </w:r>
      <w:bookmarkEnd w:id="61"/>
    </w:p>
    <w:p w14:paraId="21D47E04">
      <w:pPr>
        <w:pStyle w:val="69"/>
        <w:spacing w:before="120" w:after="120"/>
        <w:ind w:left="0"/>
        <w:rPr>
          <w:rFonts w:ascii="宋体" w:hAnsi="宋体" w:eastAsia="宋体"/>
        </w:rPr>
      </w:pPr>
      <w:r>
        <w:rPr>
          <w:rFonts w:hint="eastAsia" w:ascii="宋体" w:hAnsi="宋体" w:eastAsia="宋体"/>
        </w:rPr>
        <w:t>当建筑高度大于300m（含）时，应采用一等水准测量相关技术要求施测。超过100m（含）低于300m的超高层建筑应采用不低于二等水准测量相关技术要求施测。水准测量往返测高差不符值、闭合差等指标要求，应符合表8规定。</w:t>
      </w:r>
    </w:p>
    <w:p w14:paraId="30CD5069">
      <w:pPr>
        <w:tabs>
          <w:tab w:val="left" w:pos="2745"/>
          <w:tab w:val="center" w:pos="4677"/>
        </w:tabs>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8</w:t>
      </w:r>
      <w:r>
        <w:rPr>
          <w:rFonts w:hint="eastAsia" w:ascii="黑体" w:hAnsi="黑体" w:eastAsia="黑体"/>
          <w:bCs/>
          <w:color w:val="000000" w:themeColor="text1"/>
          <w14:textFill>
            <w14:solidFill>
              <w14:schemeClr w14:val="tx1"/>
            </w14:solidFill>
          </w14:textFill>
        </w:rPr>
        <w:t xml:space="preserve"> 水准测量往返测高差不符值及闭合差等指标要求</w:t>
      </w:r>
    </w:p>
    <w:tbl>
      <w:tblPr>
        <w:tblStyle w:val="30"/>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2952"/>
        <w:gridCol w:w="1645"/>
        <w:gridCol w:w="1156"/>
        <w:gridCol w:w="2138"/>
      </w:tblGrid>
      <w:tr w14:paraId="1B54A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0816E5C5">
            <w:pPr>
              <w:pStyle w:val="234"/>
              <w:ind w:firstLine="0" w:firstLineChars="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等级</w:t>
            </w:r>
          </w:p>
        </w:tc>
        <w:tc>
          <w:tcPr>
            <w:tcW w:w="1713" w:type="pct"/>
            <w:vAlign w:val="center"/>
          </w:tcPr>
          <w:p w14:paraId="530BCD8C">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测段、区段、路线往返测高差不符值/mm</w:t>
            </w:r>
          </w:p>
        </w:tc>
        <w:tc>
          <w:tcPr>
            <w:tcW w:w="0" w:type="auto"/>
            <w:vAlign w:val="center"/>
          </w:tcPr>
          <w:p w14:paraId="0DBCC8D5">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附合路线闭合差/mm</w:t>
            </w:r>
          </w:p>
        </w:tc>
        <w:tc>
          <w:tcPr>
            <w:tcW w:w="0" w:type="auto"/>
            <w:vAlign w:val="center"/>
          </w:tcPr>
          <w:p w14:paraId="407BB928">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环闭合差/mm</w:t>
            </w:r>
          </w:p>
        </w:tc>
        <w:tc>
          <w:tcPr>
            <w:tcW w:w="0" w:type="auto"/>
            <w:vAlign w:val="center"/>
          </w:tcPr>
          <w:p w14:paraId="761AD089">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检测已测测段高差之差/mm</w:t>
            </w:r>
          </w:p>
        </w:tc>
      </w:tr>
      <w:tr w14:paraId="48E33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5769BC99">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一等</w:t>
            </w:r>
          </w:p>
        </w:tc>
        <w:tc>
          <w:tcPr>
            <w:tcW w:w="1713" w:type="pct"/>
            <w:vAlign w:val="center"/>
          </w:tcPr>
          <w:p w14:paraId="6D4D9504">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8"/>
                <w:sz w:val="18"/>
                <w:szCs w:val="18"/>
                <w14:textFill>
                  <w14:solidFill>
                    <w14:schemeClr w14:val="tx1"/>
                  </w14:solidFill>
                </w14:textFill>
              </w:rPr>
              <w:object>
                <v:shape id="_x0000_i1026" o:spt="75" type="#_x0000_t75" style="height:16.35pt;width:25.55pt;" o:ole="t" filled="f" o:preferrelative="t" stroked="f" coordsize="21600,21600">
                  <v:path/>
                  <v:fill on="f" focussize="0,0"/>
                  <v:stroke on="f" joinstyle="miter"/>
                  <v:imagedata r:id="rId16" o:title=""/>
                  <o:lock v:ext="edit" aspectratio="t"/>
                  <w10:wrap type="none"/>
                  <w10:anchorlock/>
                </v:shape>
                <o:OLEObject Type="Embed" ProgID="Equation.3" ShapeID="_x0000_i1026" DrawAspect="Content" ObjectID="_1468075726" r:id="rId15">
                  <o:LockedField>false</o:LockedField>
                </o:OLEObject>
              </w:object>
            </w:r>
          </w:p>
        </w:tc>
        <w:tc>
          <w:tcPr>
            <w:tcW w:w="0" w:type="auto"/>
            <w:vAlign w:val="center"/>
          </w:tcPr>
          <w:p w14:paraId="72D31ADF">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p>
        </w:tc>
        <w:tc>
          <w:tcPr>
            <w:tcW w:w="0" w:type="auto"/>
            <w:vAlign w:val="center"/>
          </w:tcPr>
          <w:p w14:paraId="7E8B8756">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6"/>
                <w:sz w:val="18"/>
                <w:szCs w:val="18"/>
                <w14:textFill>
                  <w14:solidFill>
                    <w14:schemeClr w14:val="tx1"/>
                  </w14:solidFill>
                </w14:textFill>
              </w:rPr>
              <w:object>
                <v:shape id="_x0000_i1027" o:spt="75" type="#_x0000_t75" style="height:16.35pt;width:22.25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17">
                  <o:LockedField>false</o:LockedField>
                </o:OLEObject>
              </w:object>
            </w:r>
          </w:p>
        </w:tc>
        <w:tc>
          <w:tcPr>
            <w:tcW w:w="0" w:type="auto"/>
            <w:vAlign w:val="center"/>
          </w:tcPr>
          <w:p w14:paraId="1E062AB5">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6"/>
                <w:sz w:val="18"/>
                <w:szCs w:val="18"/>
                <w14:textFill>
                  <w14:solidFill>
                    <w14:schemeClr w14:val="tx1"/>
                  </w14:solidFill>
                </w14:textFill>
              </w:rPr>
              <w:object>
                <v:shape id="_x0000_i1028" o:spt="75" type="#_x0000_t75" style="height:16.35pt;width:20.95pt;" o:ole="t" filled="f" o:preferrelative="t" stroked="f" coordsize="21600,21600">
                  <v:path/>
                  <v:fill on="f" focussize="0,0"/>
                  <v:stroke on="f" joinstyle="miter"/>
                  <v:imagedata r:id="rId20" o:title=""/>
                  <o:lock v:ext="edit" aspectratio="t"/>
                  <w10:wrap type="none"/>
                  <w10:anchorlock/>
                </v:shape>
                <o:OLEObject Type="Embed" ProgID="Equation.3" ShapeID="_x0000_i1028" DrawAspect="Content" ObjectID="_1468075728" r:id="rId19">
                  <o:LockedField>false</o:LockedField>
                </o:OLEObject>
              </w:object>
            </w:r>
          </w:p>
        </w:tc>
      </w:tr>
      <w:tr w14:paraId="0CBD6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Align w:val="center"/>
          </w:tcPr>
          <w:p w14:paraId="703F0021">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二等</w:t>
            </w:r>
          </w:p>
        </w:tc>
        <w:tc>
          <w:tcPr>
            <w:tcW w:w="1713" w:type="pct"/>
            <w:vAlign w:val="center"/>
          </w:tcPr>
          <w:p w14:paraId="69BC0024">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8"/>
                <w:sz w:val="18"/>
                <w:szCs w:val="18"/>
                <w14:textFill>
                  <w14:solidFill>
                    <w14:schemeClr w14:val="tx1"/>
                  </w14:solidFill>
                </w14:textFill>
              </w:rPr>
              <w:object>
                <v:shape id="_x0000_i1029" o:spt="75" type="#_x0000_t75" style="height:16.35pt;width:19.65pt;" o:ole="t" filled="f" o:preferrelative="t" stroked="f" coordsize="21600,21600">
                  <v:path/>
                  <v:fill on="f" focussize="0,0"/>
                  <v:stroke on="f" joinstyle="miter"/>
                  <v:imagedata r:id="rId22" o:title=""/>
                  <o:lock v:ext="edit" aspectratio="t"/>
                  <w10:wrap type="none"/>
                  <w10:anchorlock/>
                </v:shape>
                <o:OLEObject Type="Embed" ProgID="Equation.3" ShapeID="_x0000_i1029" DrawAspect="Content" ObjectID="_1468075729" r:id="rId21">
                  <o:LockedField>false</o:LockedField>
                </o:OLEObject>
              </w:object>
            </w:r>
          </w:p>
        </w:tc>
        <w:tc>
          <w:tcPr>
            <w:tcW w:w="0" w:type="auto"/>
            <w:vAlign w:val="center"/>
          </w:tcPr>
          <w:p w14:paraId="4D66A9D8">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6"/>
                <w:sz w:val="18"/>
                <w:szCs w:val="18"/>
                <w14:textFill>
                  <w14:solidFill>
                    <w14:schemeClr w14:val="tx1"/>
                  </w14:solidFill>
                </w14:textFill>
              </w:rPr>
              <w:object>
                <v:shape id="_x0000_i1030" o:spt="75" type="#_x0000_t75" style="height:16.35pt;width:20.95pt;" o:ole="t" filled="f" o:preferrelative="t" stroked="f" coordsize="21600,21600">
                  <v:path/>
                  <v:fill on="f" focussize="0,0"/>
                  <v:stroke on="f" joinstyle="miter"/>
                  <v:imagedata r:id="rId24" o:title=""/>
                  <o:lock v:ext="edit" aspectratio="t"/>
                  <w10:wrap type="none"/>
                  <w10:anchorlock/>
                </v:shape>
                <o:OLEObject Type="Embed" ProgID="Equation.3" ShapeID="_x0000_i1030" DrawAspect="Content" ObjectID="_1468075730" r:id="rId23">
                  <o:LockedField>false</o:LockedField>
                </o:OLEObject>
              </w:object>
            </w:r>
          </w:p>
        </w:tc>
        <w:tc>
          <w:tcPr>
            <w:tcW w:w="0" w:type="auto"/>
            <w:vAlign w:val="center"/>
          </w:tcPr>
          <w:p w14:paraId="7CB510D4">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6"/>
                <w:sz w:val="18"/>
                <w:szCs w:val="18"/>
                <w14:textFill>
                  <w14:solidFill>
                    <w14:schemeClr w14:val="tx1"/>
                  </w14:solidFill>
                </w14:textFill>
              </w:rPr>
              <w:object>
                <v:shape id="_x0000_i1031" o:spt="75" type="#_x0000_t75" style="height:16.35pt;width:22.25pt;" o:ole="t" filled="f" o:preferrelative="t" stroked="f" coordsize="21600,21600">
                  <v:path/>
                  <v:fill on="f" focussize="0,0"/>
                  <v:stroke on="f" joinstyle="miter"/>
                  <v:imagedata r:id="rId26" o:title=""/>
                  <o:lock v:ext="edit" aspectratio="t"/>
                  <w10:wrap type="none"/>
                  <w10:anchorlock/>
                </v:shape>
                <o:OLEObject Type="Embed" ProgID="Equation.3" ShapeID="_x0000_i1031" DrawAspect="Content" ObjectID="_1468075731" r:id="rId25">
                  <o:LockedField>false</o:LockedField>
                </o:OLEObject>
              </w:object>
            </w:r>
          </w:p>
        </w:tc>
        <w:tc>
          <w:tcPr>
            <w:tcW w:w="0" w:type="auto"/>
            <w:vAlign w:val="center"/>
          </w:tcPr>
          <w:p w14:paraId="7277132F">
            <w:pPr>
              <w:pStyle w:val="234"/>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position w:val="-6"/>
                <w:sz w:val="18"/>
                <w:szCs w:val="18"/>
                <w14:textFill>
                  <w14:solidFill>
                    <w14:schemeClr w14:val="tx1"/>
                  </w14:solidFill>
                </w14:textFill>
              </w:rPr>
              <w:object>
                <v:shape id="_x0000_i1032" o:spt="75" type="#_x0000_t75" style="height:16.35pt;width:22.25pt;" o:ole="t" filled="f" o:preferrelative="t" stroked="f" coordsize="21600,21600">
                  <v:path/>
                  <v:fill on="f" focussize="0,0"/>
                  <v:stroke on="f" joinstyle="miter"/>
                  <v:imagedata r:id="rId28" o:title=""/>
                  <o:lock v:ext="edit" aspectratio="t"/>
                  <w10:wrap type="none"/>
                  <w10:anchorlock/>
                </v:shape>
                <o:OLEObject Type="Embed" ProgID="Equation.3" ShapeID="_x0000_i1032" DrawAspect="Content" ObjectID="_1468075732" r:id="rId27">
                  <o:LockedField>false</o:LockedField>
                </o:OLEObject>
              </w:object>
            </w:r>
          </w:p>
        </w:tc>
      </w:tr>
      <w:tr w14:paraId="69E1C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gridSpan w:val="5"/>
          </w:tcPr>
          <w:p w14:paraId="1E32155F">
            <w:pPr>
              <w:pStyle w:val="234"/>
              <w:ind w:firstLine="36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 xml:space="preserve">注：  </w:t>
            </w:r>
            <w:r>
              <w:rPr>
                <w:rFonts w:hint="eastAsia" w:ascii="宋体" w:hAnsi="宋体" w:eastAsia="宋体" w:cs="宋体"/>
                <w:color w:val="000000" w:themeColor="text1"/>
                <w:position w:val="-6"/>
                <w:sz w:val="18"/>
                <w:szCs w:val="18"/>
                <w14:textFill>
                  <w14:solidFill>
                    <w14:schemeClr w14:val="tx1"/>
                  </w14:solidFill>
                </w14:textFill>
              </w:rPr>
              <w:object>
                <v:shape id="_x0000_i1033" o:spt="75" type="#_x0000_t75" style="height:11.8pt;width:8.5pt;" o:ole="t" filled="f" o:preferrelative="t" stroked="f" coordsize="21600,21600">
                  <v:path/>
                  <v:fill on="f" focussize="0,0"/>
                  <v:stroke on="f" joinstyle="miter"/>
                  <v:imagedata r:id="rId30" o:title=""/>
                  <o:lock v:ext="edit" aspectratio="t"/>
                  <w10:wrap type="none"/>
                  <w10:anchorlock/>
                </v:shape>
                <o:OLEObject Type="Embed" ProgID="Equation.3" ShapeID="_x0000_i1033" DrawAspect="Content" ObjectID="_1468075733" r:id="rId29">
                  <o:LockedField>false</o:LockedField>
                </o:OLEObject>
              </w:object>
            </w:r>
            <w:r>
              <w:rPr>
                <w:rFonts w:hint="eastAsia" w:ascii="宋体" w:hAnsi="宋体" w:eastAsia="宋体" w:cs="宋体"/>
                <w:color w:val="000000" w:themeColor="text1"/>
                <w:sz w:val="18"/>
                <w:szCs w:val="18"/>
                <w14:textFill>
                  <w14:solidFill>
                    <w14:schemeClr w14:val="tx1"/>
                  </w14:solidFill>
                </w14:textFill>
              </w:rPr>
              <w:t>——测段、区段、路线长度，单位为km；当测段长度小于0.1km时，按0.1km计算；</w:t>
            </w:r>
          </w:p>
          <w:p w14:paraId="68C2976C">
            <w:pPr>
              <w:pStyle w:val="234"/>
              <w:ind w:firstLine="900" w:firstLineChars="50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i/>
                <w:color w:val="000000" w:themeColor="text1"/>
                <w:sz w:val="18"/>
                <w:szCs w:val="18"/>
                <w14:textFill>
                  <w14:solidFill>
                    <w14:schemeClr w14:val="tx1"/>
                  </w14:solidFill>
                </w14:textFill>
              </w:rPr>
              <w:t>L</w:t>
            </w:r>
            <w:r>
              <w:rPr>
                <w:rFonts w:hint="eastAsia" w:ascii="宋体" w:hAnsi="宋体" w:eastAsia="宋体" w:cs="宋体"/>
                <w:color w:val="000000" w:themeColor="text1"/>
                <w:sz w:val="18"/>
                <w:szCs w:val="18"/>
                <w14:textFill>
                  <w14:solidFill>
                    <w14:schemeClr w14:val="tx1"/>
                  </w14:solidFill>
                </w14:textFill>
              </w:rPr>
              <w:t>——附合路线长度，单位为km；</w:t>
            </w:r>
          </w:p>
          <w:p w14:paraId="62C4B532">
            <w:pPr>
              <w:pStyle w:val="234"/>
              <w:ind w:firstLine="900" w:firstLineChars="50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i/>
                <w:color w:val="000000" w:themeColor="text1"/>
                <w:sz w:val="18"/>
                <w:szCs w:val="18"/>
                <w14:textFill>
                  <w14:solidFill>
                    <w14:schemeClr w14:val="tx1"/>
                  </w14:solidFill>
                </w14:textFill>
              </w:rPr>
              <w:t>F</w:t>
            </w:r>
            <w:r>
              <w:rPr>
                <w:rFonts w:hint="eastAsia" w:ascii="宋体" w:hAnsi="宋体" w:eastAsia="宋体" w:cs="宋体"/>
                <w:color w:val="000000" w:themeColor="text1"/>
                <w:sz w:val="18"/>
                <w:szCs w:val="18"/>
                <w14:textFill>
                  <w14:solidFill>
                    <w14:schemeClr w14:val="tx1"/>
                  </w14:solidFill>
                </w14:textFill>
              </w:rPr>
              <w:t>——环线长度，单位为km；</w:t>
            </w:r>
          </w:p>
          <w:p w14:paraId="33387C77">
            <w:pPr>
              <w:pStyle w:val="234"/>
              <w:ind w:firstLine="900" w:firstLineChars="50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i/>
                <w:color w:val="000000" w:themeColor="text1"/>
                <w:sz w:val="18"/>
                <w:szCs w:val="18"/>
                <w14:textFill>
                  <w14:solidFill>
                    <w14:schemeClr w14:val="tx1"/>
                  </w14:solidFill>
                </w14:textFill>
              </w:rPr>
              <w:t>R</w:t>
            </w:r>
            <w:r>
              <w:rPr>
                <w:rFonts w:hint="eastAsia" w:ascii="宋体" w:hAnsi="宋体" w:eastAsia="宋体" w:cs="宋体"/>
                <w:color w:val="000000" w:themeColor="text1"/>
                <w:sz w:val="18"/>
                <w:szCs w:val="18"/>
                <w14:textFill>
                  <w14:solidFill>
                    <w14:schemeClr w14:val="tx1"/>
                  </w14:solidFill>
                </w14:textFill>
              </w:rPr>
              <w:t>——检测测段长度，单位为km。</w:t>
            </w:r>
          </w:p>
        </w:tc>
      </w:tr>
    </w:tbl>
    <w:p w14:paraId="6CCD185F">
      <w:pPr>
        <w:pStyle w:val="69"/>
        <w:spacing w:before="120" w:after="120"/>
        <w:ind w:left="0"/>
        <w:rPr>
          <w:rFonts w:ascii="宋体" w:hAnsi="宋体" w:eastAsia="宋体"/>
        </w:rPr>
      </w:pPr>
      <w:r>
        <w:rPr>
          <w:rFonts w:hint="eastAsia" w:ascii="宋体" w:hAnsi="宋体" w:eastAsia="宋体"/>
        </w:rPr>
        <w:t>水准观测</w:t>
      </w:r>
      <w:r>
        <w:rPr>
          <w:rFonts w:ascii="宋体" w:hAnsi="宋体" w:eastAsia="宋体"/>
        </w:rPr>
        <w:t>应在标识稳定后进行，水准观测的</w:t>
      </w:r>
      <w:r>
        <w:rPr>
          <w:rFonts w:hint="eastAsia" w:ascii="宋体" w:hAnsi="宋体" w:eastAsia="宋体"/>
        </w:rPr>
        <w:t>指标</w:t>
      </w:r>
      <w:r>
        <w:rPr>
          <w:rFonts w:ascii="宋体" w:hAnsi="宋体" w:eastAsia="宋体"/>
        </w:rPr>
        <w:t>要求，应符合表9</w:t>
      </w:r>
      <w:r>
        <w:rPr>
          <w:rFonts w:hint="eastAsia" w:ascii="宋体" w:hAnsi="宋体" w:eastAsia="宋体"/>
        </w:rPr>
        <w:t>的</w:t>
      </w:r>
      <w:r>
        <w:rPr>
          <w:rFonts w:ascii="宋体" w:hAnsi="宋体" w:eastAsia="宋体"/>
        </w:rPr>
        <w:t>规定。</w:t>
      </w:r>
    </w:p>
    <w:p w14:paraId="4077ECA0">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9</w:t>
      </w:r>
      <w:r>
        <w:rPr>
          <w:rFonts w:hint="eastAsia" w:ascii="黑体" w:hAnsi="黑体" w:eastAsia="黑体"/>
          <w:bCs/>
          <w:color w:val="000000" w:themeColor="text1"/>
          <w14:textFill>
            <w14:solidFill>
              <w14:schemeClr w14:val="tx1"/>
            </w14:solidFill>
          </w14:textFill>
        </w:rPr>
        <w:t xml:space="preserve">  水准</w:t>
      </w:r>
      <w:r>
        <w:rPr>
          <w:rFonts w:ascii="黑体" w:hAnsi="黑体" w:eastAsia="黑体"/>
          <w:bCs/>
          <w:color w:val="000000" w:themeColor="text1"/>
          <w14:textFill>
            <w14:solidFill>
              <w14:schemeClr w14:val="tx1"/>
            </w14:solidFill>
          </w14:textFill>
        </w:rPr>
        <w:t>观测</w:t>
      </w:r>
      <w:r>
        <w:rPr>
          <w:rFonts w:hint="eastAsia" w:ascii="黑体" w:hAnsi="黑体" w:eastAsia="黑体"/>
          <w:bCs/>
          <w:color w:val="000000" w:themeColor="text1"/>
          <w14:textFill>
            <w14:solidFill>
              <w14:schemeClr w14:val="tx1"/>
            </w14:solidFill>
          </w14:textFill>
        </w:rPr>
        <w:t>指标</w:t>
      </w:r>
      <w:r>
        <w:rPr>
          <w:rFonts w:ascii="黑体" w:hAnsi="黑体" w:eastAsia="黑体"/>
          <w:bCs/>
          <w:color w:val="000000" w:themeColor="text1"/>
          <w14:textFill>
            <w14:solidFill>
              <w14:schemeClr w14:val="tx1"/>
            </w14:solidFill>
          </w14:textFill>
        </w:rPr>
        <w:t>要求</w:t>
      </w:r>
    </w:p>
    <w:tbl>
      <w:tblPr>
        <w:tblStyle w:val="29"/>
        <w:tblW w:w="48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796"/>
        <w:gridCol w:w="656"/>
        <w:gridCol w:w="1076"/>
        <w:gridCol w:w="720"/>
        <w:gridCol w:w="675"/>
        <w:gridCol w:w="705"/>
        <w:gridCol w:w="798"/>
        <w:gridCol w:w="795"/>
        <w:gridCol w:w="1510"/>
        <w:gridCol w:w="825"/>
      </w:tblGrid>
      <w:tr w14:paraId="77A3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vMerge w:val="restart"/>
            <w:vAlign w:val="center"/>
          </w:tcPr>
          <w:p w14:paraId="41F8F855">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等级</w:t>
            </w:r>
          </w:p>
        </w:tc>
        <w:tc>
          <w:tcPr>
            <w:tcW w:w="796" w:type="dxa"/>
            <w:vMerge w:val="restart"/>
            <w:vAlign w:val="center"/>
          </w:tcPr>
          <w:p w14:paraId="1E54F33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仪器类别</w:t>
            </w:r>
          </w:p>
        </w:tc>
        <w:tc>
          <w:tcPr>
            <w:tcW w:w="1732" w:type="dxa"/>
            <w:gridSpan w:val="2"/>
            <w:vAlign w:val="center"/>
          </w:tcPr>
          <w:p w14:paraId="493C0CD1">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视线长度/</w:t>
            </w:r>
            <w:r>
              <w:rPr>
                <w:rFonts w:ascii="宋体" w:hAnsi="宋体"/>
                <w:color w:val="000000" w:themeColor="text1"/>
                <w:sz w:val="18"/>
                <w:szCs w:val="18"/>
                <w14:textFill>
                  <w14:solidFill>
                    <w14:schemeClr w14:val="tx1"/>
                  </w14:solidFill>
                </w14:textFill>
              </w:rPr>
              <w:t>m</w:t>
            </w:r>
          </w:p>
        </w:tc>
        <w:tc>
          <w:tcPr>
            <w:tcW w:w="1395" w:type="dxa"/>
            <w:gridSpan w:val="2"/>
            <w:vAlign w:val="center"/>
          </w:tcPr>
          <w:p w14:paraId="75605DB8">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前后视</w:t>
            </w:r>
          </w:p>
          <w:p w14:paraId="7AFC85B8">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距差/m</w:t>
            </w:r>
          </w:p>
        </w:tc>
        <w:tc>
          <w:tcPr>
            <w:tcW w:w="1503" w:type="dxa"/>
            <w:gridSpan w:val="2"/>
            <w:vAlign w:val="center"/>
          </w:tcPr>
          <w:p w14:paraId="339E66A1">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任一</w:t>
            </w:r>
            <w:r>
              <w:rPr>
                <w:rFonts w:ascii="宋体" w:hAnsi="宋体"/>
                <w:color w:val="000000" w:themeColor="text1"/>
                <w:sz w:val="18"/>
                <w:szCs w:val="18"/>
                <w14:textFill>
                  <w14:solidFill>
                    <w14:schemeClr w14:val="tx1"/>
                  </w14:solidFill>
                </w14:textFill>
              </w:rPr>
              <w:t>测站上</w:t>
            </w:r>
            <w:r>
              <w:rPr>
                <w:rFonts w:hint="eastAsia" w:ascii="宋体" w:hAnsi="宋体"/>
                <w:color w:val="000000" w:themeColor="text1"/>
                <w:sz w:val="18"/>
                <w:szCs w:val="18"/>
                <w14:textFill>
                  <w14:solidFill>
                    <w14:schemeClr w14:val="tx1"/>
                  </w14:solidFill>
                </w14:textFill>
              </w:rPr>
              <w:t>前后视距累积差/m</w:t>
            </w:r>
          </w:p>
        </w:tc>
        <w:tc>
          <w:tcPr>
            <w:tcW w:w="2305" w:type="dxa"/>
            <w:gridSpan w:val="2"/>
            <w:vAlign w:val="center"/>
          </w:tcPr>
          <w:p w14:paraId="17FB51A0">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视线离</w:t>
            </w:r>
            <w:r>
              <w:rPr>
                <w:rFonts w:ascii="宋体" w:hAnsi="宋体"/>
                <w:color w:val="000000" w:themeColor="text1"/>
                <w:sz w:val="18"/>
                <w:szCs w:val="18"/>
                <w14:textFill>
                  <w14:solidFill>
                    <w14:schemeClr w14:val="tx1"/>
                  </w14:solidFill>
                </w14:textFill>
              </w:rPr>
              <w:t>地面最低</w:t>
            </w:r>
            <w:r>
              <w:rPr>
                <w:rFonts w:hint="eastAsia" w:ascii="宋体" w:hAnsi="宋体"/>
                <w:color w:val="000000" w:themeColor="text1"/>
                <w:sz w:val="18"/>
                <w:szCs w:val="18"/>
                <w14:textFill>
                  <w14:solidFill>
                    <w14:schemeClr w14:val="tx1"/>
                  </w14:solidFill>
                </w14:textFill>
              </w:rPr>
              <w:t>高度/m</w:t>
            </w:r>
          </w:p>
        </w:tc>
        <w:tc>
          <w:tcPr>
            <w:tcW w:w="825" w:type="dxa"/>
            <w:vMerge w:val="restart"/>
            <w:vAlign w:val="center"/>
          </w:tcPr>
          <w:p w14:paraId="1D2E675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数字水准仪</w:t>
            </w:r>
            <w:r>
              <w:rPr>
                <w:rFonts w:ascii="宋体" w:hAnsi="宋体"/>
                <w:color w:val="000000" w:themeColor="text1"/>
                <w:sz w:val="18"/>
                <w:szCs w:val="18"/>
                <w14:textFill>
                  <w14:solidFill>
                    <w14:schemeClr w14:val="tx1"/>
                  </w14:solidFill>
                </w14:textFill>
              </w:rPr>
              <w:t>重复测量次数</w:t>
            </w:r>
          </w:p>
        </w:tc>
      </w:tr>
      <w:tr w14:paraId="71407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vMerge w:val="continue"/>
            <w:vAlign w:val="center"/>
          </w:tcPr>
          <w:p w14:paraId="2A27274E">
            <w:pPr>
              <w:spacing w:line="240" w:lineRule="auto"/>
              <w:jc w:val="center"/>
              <w:rPr>
                <w:rFonts w:ascii="宋体" w:hAnsi="宋体"/>
                <w:color w:val="000000" w:themeColor="text1"/>
                <w:sz w:val="18"/>
                <w:szCs w:val="18"/>
                <w14:textFill>
                  <w14:solidFill>
                    <w14:schemeClr w14:val="tx1"/>
                  </w14:solidFill>
                </w14:textFill>
              </w:rPr>
            </w:pPr>
          </w:p>
        </w:tc>
        <w:tc>
          <w:tcPr>
            <w:tcW w:w="796" w:type="dxa"/>
            <w:vMerge w:val="continue"/>
            <w:vAlign w:val="center"/>
          </w:tcPr>
          <w:p w14:paraId="2D1AAFFB">
            <w:pPr>
              <w:spacing w:line="240" w:lineRule="auto"/>
              <w:jc w:val="center"/>
              <w:rPr>
                <w:rFonts w:ascii="宋体" w:hAnsi="宋体"/>
                <w:color w:val="000000" w:themeColor="text1"/>
                <w:sz w:val="18"/>
                <w:szCs w:val="18"/>
                <w14:textFill>
                  <w14:solidFill>
                    <w14:schemeClr w14:val="tx1"/>
                  </w14:solidFill>
                </w14:textFill>
              </w:rPr>
            </w:pPr>
          </w:p>
        </w:tc>
        <w:tc>
          <w:tcPr>
            <w:tcW w:w="656" w:type="dxa"/>
            <w:vAlign w:val="center"/>
          </w:tcPr>
          <w:p w14:paraId="5035D30A">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光学</w:t>
            </w:r>
          </w:p>
        </w:tc>
        <w:tc>
          <w:tcPr>
            <w:tcW w:w="1076" w:type="dxa"/>
            <w:vAlign w:val="center"/>
          </w:tcPr>
          <w:p w14:paraId="0C7B7858">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数字</w:t>
            </w:r>
          </w:p>
        </w:tc>
        <w:tc>
          <w:tcPr>
            <w:tcW w:w="720" w:type="dxa"/>
            <w:vAlign w:val="center"/>
          </w:tcPr>
          <w:p w14:paraId="075E9AD8">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光学</w:t>
            </w:r>
          </w:p>
        </w:tc>
        <w:tc>
          <w:tcPr>
            <w:tcW w:w="675" w:type="dxa"/>
            <w:vAlign w:val="center"/>
          </w:tcPr>
          <w:p w14:paraId="47F9E22A">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数字</w:t>
            </w:r>
          </w:p>
        </w:tc>
        <w:tc>
          <w:tcPr>
            <w:tcW w:w="705" w:type="dxa"/>
            <w:vAlign w:val="center"/>
          </w:tcPr>
          <w:p w14:paraId="5EBB147E">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光学</w:t>
            </w:r>
          </w:p>
        </w:tc>
        <w:tc>
          <w:tcPr>
            <w:tcW w:w="798" w:type="dxa"/>
            <w:vAlign w:val="center"/>
          </w:tcPr>
          <w:p w14:paraId="451969C0">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数字</w:t>
            </w:r>
          </w:p>
        </w:tc>
        <w:tc>
          <w:tcPr>
            <w:tcW w:w="795" w:type="dxa"/>
            <w:vAlign w:val="center"/>
          </w:tcPr>
          <w:p w14:paraId="28C1547B">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光学（下丝</w:t>
            </w:r>
            <w:r>
              <w:rPr>
                <w:rFonts w:ascii="宋体" w:hAnsi="宋体"/>
                <w:color w:val="000000" w:themeColor="text1"/>
                <w:sz w:val="18"/>
                <w:szCs w:val="18"/>
                <w14:textFill>
                  <w14:solidFill>
                    <w14:schemeClr w14:val="tx1"/>
                  </w14:solidFill>
                </w14:textFill>
              </w:rPr>
              <w:t>读数）</w:t>
            </w:r>
          </w:p>
        </w:tc>
        <w:tc>
          <w:tcPr>
            <w:tcW w:w="1510" w:type="dxa"/>
            <w:vAlign w:val="center"/>
          </w:tcPr>
          <w:p w14:paraId="486D3C4C">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数字</w:t>
            </w:r>
          </w:p>
        </w:tc>
        <w:tc>
          <w:tcPr>
            <w:tcW w:w="825" w:type="dxa"/>
            <w:vMerge w:val="continue"/>
            <w:vAlign w:val="center"/>
          </w:tcPr>
          <w:p w14:paraId="2FB20BAA">
            <w:pPr>
              <w:spacing w:line="240" w:lineRule="auto"/>
              <w:jc w:val="center"/>
              <w:rPr>
                <w:rFonts w:ascii="宋体" w:hAnsi="宋体"/>
                <w:color w:val="000000" w:themeColor="text1"/>
                <w:sz w:val="18"/>
                <w:szCs w:val="18"/>
                <w14:textFill>
                  <w14:solidFill>
                    <w14:schemeClr w14:val="tx1"/>
                  </w14:solidFill>
                </w14:textFill>
              </w:rPr>
            </w:pPr>
          </w:p>
        </w:tc>
      </w:tr>
      <w:tr w14:paraId="62DBC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vAlign w:val="center"/>
          </w:tcPr>
          <w:p w14:paraId="320114FE">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一等</w:t>
            </w:r>
          </w:p>
        </w:tc>
        <w:tc>
          <w:tcPr>
            <w:tcW w:w="796" w:type="dxa"/>
            <w:vAlign w:val="center"/>
          </w:tcPr>
          <w:p w14:paraId="7A9FD794">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D</w:t>
            </w:r>
            <w:r>
              <w:rPr>
                <w:rFonts w:ascii="宋体" w:hAnsi="宋体"/>
                <w:color w:val="000000" w:themeColor="text1"/>
                <w:kern w:val="0"/>
                <w:sz w:val="18"/>
                <w:szCs w:val="18"/>
                <w14:textFill>
                  <w14:solidFill>
                    <w14:schemeClr w14:val="tx1"/>
                  </w14:solidFill>
                </w14:textFill>
              </w:rPr>
              <w:t>SZ05</w:t>
            </w:r>
            <w:r>
              <w:rPr>
                <w:rFonts w:hint="eastAsia" w:ascii="宋体" w:hAnsi="宋体"/>
                <w:color w:val="000000" w:themeColor="text1"/>
                <w:kern w:val="0"/>
                <w:sz w:val="18"/>
                <w:szCs w:val="18"/>
                <w14:textFill>
                  <w14:solidFill>
                    <w14:schemeClr w14:val="tx1"/>
                  </w14:solidFill>
                </w14:textFill>
              </w:rPr>
              <w:t>、DS05</w:t>
            </w:r>
          </w:p>
        </w:tc>
        <w:tc>
          <w:tcPr>
            <w:tcW w:w="656" w:type="dxa"/>
            <w:vAlign w:val="center"/>
          </w:tcPr>
          <w:p w14:paraId="624421A3">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3</w:t>
            </w:r>
            <w:r>
              <w:rPr>
                <w:rFonts w:hint="eastAsia" w:ascii="宋体" w:hAnsi="宋体"/>
                <w:color w:val="000000" w:themeColor="text1"/>
                <w:sz w:val="18"/>
                <w:szCs w:val="18"/>
                <w14:textFill>
                  <w14:solidFill>
                    <w14:schemeClr w14:val="tx1"/>
                  </w14:solidFill>
                </w14:textFill>
              </w:rPr>
              <w:t>0</w:t>
            </w:r>
          </w:p>
        </w:tc>
        <w:tc>
          <w:tcPr>
            <w:tcW w:w="1076" w:type="dxa"/>
            <w:vAlign w:val="center"/>
          </w:tcPr>
          <w:p w14:paraId="4BA2821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≥4且≤</w:t>
            </w:r>
            <w:r>
              <w:rPr>
                <w:rFonts w:ascii="宋体" w:hAnsi="宋体"/>
                <w:color w:val="000000" w:themeColor="text1"/>
                <w:sz w:val="18"/>
                <w:szCs w:val="18"/>
                <w14:textFill>
                  <w14:solidFill>
                    <w14:schemeClr w14:val="tx1"/>
                  </w14:solidFill>
                </w14:textFill>
              </w:rPr>
              <w:t>3</w:t>
            </w:r>
            <w:r>
              <w:rPr>
                <w:rFonts w:hint="eastAsia" w:ascii="宋体" w:hAnsi="宋体"/>
                <w:color w:val="000000" w:themeColor="text1"/>
                <w:sz w:val="18"/>
                <w:szCs w:val="18"/>
                <w14:textFill>
                  <w14:solidFill>
                    <w14:schemeClr w14:val="tx1"/>
                  </w14:solidFill>
                </w14:textFill>
              </w:rPr>
              <w:t>0</w:t>
            </w:r>
          </w:p>
        </w:tc>
        <w:tc>
          <w:tcPr>
            <w:tcW w:w="720" w:type="dxa"/>
            <w:vAlign w:val="center"/>
          </w:tcPr>
          <w:p w14:paraId="5BD433B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0.5</w:t>
            </w:r>
          </w:p>
        </w:tc>
        <w:tc>
          <w:tcPr>
            <w:tcW w:w="675" w:type="dxa"/>
            <w:vAlign w:val="center"/>
          </w:tcPr>
          <w:p w14:paraId="4FE7C133">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1.0</w:t>
            </w:r>
          </w:p>
        </w:tc>
        <w:tc>
          <w:tcPr>
            <w:tcW w:w="705" w:type="dxa"/>
            <w:vAlign w:val="center"/>
          </w:tcPr>
          <w:p w14:paraId="2D387A9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1.5</w:t>
            </w:r>
          </w:p>
        </w:tc>
        <w:tc>
          <w:tcPr>
            <w:tcW w:w="798" w:type="dxa"/>
            <w:vAlign w:val="center"/>
          </w:tcPr>
          <w:p w14:paraId="62706961">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3.0</w:t>
            </w:r>
          </w:p>
        </w:tc>
        <w:tc>
          <w:tcPr>
            <w:tcW w:w="795" w:type="dxa"/>
            <w:vAlign w:val="center"/>
          </w:tcPr>
          <w:p w14:paraId="7E8E6C3A">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0.5</w:t>
            </w:r>
          </w:p>
        </w:tc>
        <w:tc>
          <w:tcPr>
            <w:tcW w:w="1510" w:type="dxa"/>
            <w:vAlign w:val="center"/>
          </w:tcPr>
          <w:p w14:paraId="5479E010">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2.80</w:t>
            </w:r>
            <w:r>
              <w:rPr>
                <w:rFonts w:hint="eastAsia" w:ascii="宋体" w:hAnsi="宋体"/>
                <w:color w:val="000000" w:themeColor="text1"/>
                <w:sz w:val="18"/>
                <w:szCs w:val="18"/>
                <w14:textFill>
                  <w14:solidFill>
                    <w14:schemeClr w14:val="tx1"/>
                  </w14:solidFill>
                </w14:textFill>
              </w:rPr>
              <w:t>且≥</w:t>
            </w:r>
            <w:r>
              <w:rPr>
                <w:rFonts w:ascii="宋体" w:hAnsi="宋体"/>
                <w:color w:val="000000" w:themeColor="text1"/>
                <w:sz w:val="18"/>
                <w:szCs w:val="18"/>
                <w14:textFill>
                  <w14:solidFill>
                    <w14:schemeClr w14:val="tx1"/>
                  </w14:solidFill>
                </w14:textFill>
              </w:rPr>
              <w:t>0.65</w:t>
            </w:r>
          </w:p>
        </w:tc>
        <w:tc>
          <w:tcPr>
            <w:tcW w:w="825" w:type="dxa"/>
            <w:vAlign w:val="center"/>
          </w:tcPr>
          <w:p w14:paraId="62E479F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≥3次</w:t>
            </w:r>
          </w:p>
        </w:tc>
      </w:tr>
      <w:tr w14:paraId="56F6C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vAlign w:val="center"/>
          </w:tcPr>
          <w:p w14:paraId="0D576A41">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二等</w:t>
            </w:r>
          </w:p>
        </w:tc>
        <w:tc>
          <w:tcPr>
            <w:tcW w:w="796" w:type="dxa"/>
            <w:vAlign w:val="center"/>
          </w:tcPr>
          <w:p w14:paraId="5662FEB0">
            <w:pPr>
              <w:spacing w:line="240" w:lineRule="auto"/>
              <w:jc w:val="cente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D</w:t>
            </w:r>
            <w:r>
              <w:rPr>
                <w:rFonts w:ascii="宋体" w:hAnsi="宋体"/>
                <w:color w:val="000000" w:themeColor="text1"/>
                <w:kern w:val="0"/>
                <w:sz w:val="18"/>
                <w:szCs w:val="18"/>
                <w14:textFill>
                  <w14:solidFill>
                    <w14:schemeClr w14:val="tx1"/>
                  </w14:solidFill>
                </w14:textFill>
              </w:rPr>
              <w:t>SZ1</w:t>
            </w:r>
            <w:r>
              <w:rPr>
                <w:rFonts w:hint="eastAsia" w:ascii="宋体" w:hAnsi="宋体"/>
                <w:color w:val="000000" w:themeColor="text1"/>
                <w:kern w:val="0"/>
                <w:sz w:val="18"/>
                <w:szCs w:val="18"/>
                <w14:textFill>
                  <w14:solidFill>
                    <w14:schemeClr w14:val="tx1"/>
                  </w14:solidFill>
                </w14:textFill>
              </w:rPr>
              <w:t>、</w:t>
            </w:r>
            <w:r>
              <w:rPr>
                <w:rFonts w:ascii="宋体" w:hAnsi="宋体"/>
                <w:color w:val="000000" w:themeColor="text1"/>
                <w:kern w:val="0"/>
                <w:sz w:val="18"/>
                <w:szCs w:val="18"/>
                <w14:textFill>
                  <w14:solidFill>
                    <w14:schemeClr w14:val="tx1"/>
                  </w14:solidFill>
                </w14:textFill>
              </w:rPr>
              <w:t>DS1</w:t>
            </w:r>
          </w:p>
        </w:tc>
        <w:tc>
          <w:tcPr>
            <w:tcW w:w="656" w:type="dxa"/>
            <w:vAlign w:val="center"/>
          </w:tcPr>
          <w:p w14:paraId="4AE1DDC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≤50</w:t>
            </w:r>
          </w:p>
        </w:tc>
        <w:tc>
          <w:tcPr>
            <w:tcW w:w="1076" w:type="dxa"/>
            <w:vAlign w:val="center"/>
          </w:tcPr>
          <w:p w14:paraId="1D5D0AC5">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3</w:t>
            </w:r>
            <w:r>
              <w:rPr>
                <w:rFonts w:hint="eastAsia" w:ascii="宋体" w:hAnsi="宋体"/>
                <w:color w:val="000000" w:themeColor="text1"/>
                <w:sz w:val="18"/>
                <w:szCs w:val="18"/>
                <w14:textFill>
                  <w14:solidFill>
                    <w14:schemeClr w14:val="tx1"/>
                  </w14:solidFill>
                </w14:textFill>
              </w:rPr>
              <w:t>且≤</w:t>
            </w:r>
            <w:r>
              <w:rPr>
                <w:rFonts w:ascii="宋体" w:hAnsi="宋体"/>
                <w:color w:val="000000" w:themeColor="text1"/>
                <w:sz w:val="18"/>
                <w:szCs w:val="18"/>
                <w14:textFill>
                  <w14:solidFill>
                    <w14:schemeClr w14:val="tx1"/>
                  </w14:solidFill>
                </w14:textFill>
              </w:rPr>
              <w:t>5</w:t>
            </w:r>
            <w:r>
              <w:rPr>
                <w:rFonts w:hint="eastAsia" w:ascii="宋体" w:hAnsi="宋体"/>
                <w:color w:val="000000" w:themeColor="text1"/>
                <w:sz w:val="18"/>
                <w:szCs w:val="18"/>
                <w14:textFill>
                  <w14:solidFill>
                    <w14:schemeClr w14:val="tx1"/>
                  </w14:solidFill>
                </w14:textFill>
              </w:rPr>
              <w:t>0</w:t>
            </w:r>
          </w:p>
        </w:tc>
        <w:tc>
          <w:tcPr>
            <w:tcW w:w="720" w:type="dxa"/>
            <w:vAlign w:val="center"/>
          </w:tcPr>
          <w:p w14:paraId="58964703">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1.0</w:t>
            </w:r>
          </w:p>
        </w:tc>
        <w:tc>
          <w:tcPr>
            <w:tcW w:w="675" w:type="dxa"/>
            <w:vAlign w:val="center"/>
          </w:tcPr>
          <w:p w14:paraId="6F8C0C8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1.5</w:t>
            </w:r>
          </w:p>
        </w:tc>
        <w:tc>
          <w:tcPr>
            <w:tcW w:w="705" w:type="dxa"/>
            <w:vAlign w:val="center"/>
          </w:tcPr>
          <w:p w14:paraId="546B1564">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3.0</w:t>
            </w:r>
          </w:p>
        </w:tc>
        <w:tc>
          <w:tcPr>
            <w:tcW w:w="798" w:type="dxa"/>
            <w:vAlign w:val="center"/>
          </w:tcPr>
          <w:p w14:paraId="7BD9A00B">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6.0</w:t>
            </w:r>
          </w:p>
        </w:tc>
        <w:tc>
          <w:tcPr>
            <w:tcW w:w="795" w:type="dxa"/>
            <w:vAlign w:val="center"/>
          </w:tcPr>
          <w:p w14:paraId="49EE261F">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0.3</w:t>
            </w:r>
          </w:p>
        </w:tc>
        <w:tc>
          <w:tcPr>
            <w:tcW w:w="1510" w:type="dxa"/>
            <w:vAlign w:val="center"/>
          </w:tcPr>
          <w:p w14:paraId="5CA97A5A">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2.80</w:t>
            </w:r>
            <w:r>
              <w:rPr>
                <w:rFonts w:hint="eastAsia" w:ascii="宋体" w:hAnsi="宋体"/>
                <w:color w:val="000000" w:themeColor="text1"/>
                <w:sz w:val="18"/>
                <w:szCs w:val="18"/>
                <w14:textFill>
                  <w14:solidFill>
                    <w14:schemeClr w14:val="tx1"/>
                  </w14:solidFill>
                </w14:textFill>
              </w:rPr>
              <w:t>且≥</w:t>
            </w:r>
            <w:r>
              <w:rPr>
                <w:rFonts w:ascii="宋体" w:hAnsi="宋体"/>
                <w:color w:val="000000" w:themeColor="text1"/>
                <w:sz w:val="18"/>
                <w:szCs w:val="18"/>
                <w14:textFill>
                  <w14:solidFill>
                    <w14:schemeClr w14:val="tx1"/>
                  </w14:solidFill>
                </w14:textFill>
              </w:rPr>
              <w:t>0.55</w:t>
            </w:r>
          </w:p>
        </w:tc>
        <w:tc>
          <w:tcPr>
            <w:tcW w:w="825" w:type="dxa"/>
            <w:vAlign w:val="center"/>
          </w:tcPr>
          <w:p w14:paraId="1F8F8D31">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2</w:t>
            </w:r>
            <w:r>
              <w:rPr>
                <w:rFonts w:hint="eastAsia" w:ascii="宋体" w:hAnsi="宋体"/>
                <w:color w:val="000000" w:themeColor="text1"/>
                <w:sz w:val="18"/>
                <w:szCs w:val="18"/>
                <w14:textFill>
                  <w14:solidFill>
                    <w14:schemeClr w14:val="tx1"/>
                  </w14:solidFill>
                </w14:textFill>
              </w:rPr>
              <w:t>次</w:t>
            </w:r>
          </w:p>
        </w:tc>
      </w:tr>
      <w:tr w14:paraId="3CF50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2" w:type="dxa"/>
            <w:gridSpan w:val="11"/>
            <w:vAlign w:val="center"/>
          </w:tcPr>
          <w:p w14:paraId="7B50D645">
            <w:pPr>
              <w:spacing w:line="240" w:lineRule="auto"/>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 注： 下丝为近地面的视距丝。</w:t>
            </w:r>
          </w:p>
        </w:tc>
      </w:tr>
    </w:tbl>
    <w:p w14:paraId="03E359B1">
      <w:pPr>
        <w:pStyle w:val="69"/>
        <w:spacing w:before="120" w:after="120"/>
        <w:ind w:left="0"/>
        <w:rPr>
          <w:rFonts w:ascii="宋体" w:hAnsi="宋体" w:eastAsia="宋体"/>
        </w:rPr>
      </w:pPr>
      <w:r>
        <w:rPr>
          <w:rFonts w:hint="eastAsia" w:ascii="宋体" w:hAnsi="宋体" w:eastAsia="宋体"/>
        </w:rPr>
        <w:t>场区高程控制网水准点可设置在平面控制点标石上或布设在场区稳定区域，水准点间距宜小于1km，距离待建建筑不宜小于25m，距离回填土边线不宜小于15m。</w:t>
      </w:r>
    </w:p>
    <w:p w14:paraId="68EF6E64">
      <w:pPr>
        <w:pStyle w:val="109"/>
        <w:spacing w:before="120" w:after="120"/>
        <w:ind w:left="0"/>
      </w:pPr>
      <w:bookmarkStart w:id="62" w:name="_Toc203213041"/>
      <w:r>
        <w:rPr>
          <w:rFonts w:hint="eastAsia"/>
        </w:rPr>
        <w:t>建筑高程控制测量</w:t>
      </w:r>
      <w:bookmarkEnd w:id="62"/>
    </w:p>
    <w:p w14:paraId="772A078E">
      <w:pPr>
        <w:pStyle w:val="69"/>
        <w:spacing w:before="120" w:after="120"/>
        <w:ind w:left="0"/>
        <w:rPr>
          <w:rFonts w:ascii="宋体" w:hAnsi="宋体" w:eastAsia="宋体"/>
        </w:rPr>
      </w:pPr>
      <w:r>
        <w:rPr>
          <w:rFonts w:hint="eastAsia" w:ascii="宋体" w:hAnsi="宋体" w:eastAsia="宋体"/>
        </w:rPr>
        <w:t>建筑高程控制测量应采用水准测量的</w:t>
      </w:r>
      <w:r>
        <w:rPr>
          <w:rFonts w:ascii="宋体" w:hAnsi="宋体" w:eastAsia="宋体"/>
        </w:rPr>
        <w:t>方法</w:t>
      </w:r>
      <w:r>
        <w:rPr>
          <w:rFonts w:hint="eastAsia" w:ascii="宋体" w:hAnsi="宋体" w:eastAsia="宋体"/>
        </w:rPr>
        <w:t>，布设成附合路线。</w:t>
      </w:r>
    </w:p>
    <w:p w14:paraId="2D49E461">
      <w:pPr>
        <w:pStyle w:val="69"/>
        <w:spacing w:before="120" w:after="120"/>
        <w:ind w:left="0"/>
        <w:rPr>
          <w:rFonts w:ascii="宋体" w:hAnsi="宋体" w:eastAsia="宋体"/>
        </w:rPr>
      </w:pPr>
      <w:r>
        <w:rPr>
          <w:rFonts w:hint="eastAsia" w:ascii="宋体" w:hAnsi="宋体" w:eastAsia="宋体"/>
        </w:rPr>
        <w:t>建筑高程控制网水准点宜设置在平面控制网标桩上或布设在外围稳固地物上，也可在场地稳定区域单独埋设。每一幢建（构）筑物周边设置高程控制水准点应不少于3个，距基坑边缘不应小于基坑深度的2倍。</w:t>
      </w:r>
    </w:p>
    <w:p w14:paraId="1A0EF8F3">
      <w:pPr>
        <w:pStyle w:val="69"/>
        <w:spacing w:before="120" w:after="120"/>
        <w:ind w:left="0"/>
        <w:rPr>
          <w:rFonts w:ascii="宋体" w:hAnsi="宋体" w:eastAsia="宋体"/>
        </w:rPr>
      </w:pPr>
      <w:r>
        <w:rPr>
          <w:rFonts w:hint="eastAsia" w:ascii="宋体" w:hAnsi="宋体" w:eastAsia="宋体"/>
        </w:rPr>
        <w:t>场区高程控制点距施工建筑小于200</w:t>
      </w:r>
      <w:r>
        <w:rPr>
          <w:rFonts w:ascii="宋体" w:hAnsi="宋体" w:eastAsia="宋体"/>
        </w:rPr>
        <w:t>m</w:t>
      </w:r>
      <w:r>
        <w:rPr>
          <w:rFonts w:hint="eastAsia" w:ascii="宋体" w:hAnsi="宋体" w:eastAsia="宋体"/>
        </w:rPr>
        <w:t>时，可直接作为建筑高程控制点使用。</w:t>
      </w:r>
    </w:p>
    <w:p w14:paraId="726FB015">
      <w:pPr>
        <w:pStyle w:val="109"/>
        <w:spacing w:before="120" w:after="120"/>
        <w:ind w:left="0"/>
      </w:pPr>
      <w:bookmarkStart w:id="63" w:name="_Toc203213042"/>
      <w:bookmarkStart w:id="64" w:name="_Toc81571051"/>
      <w:bookmarkStart w:id="65" w:name="_Toc91590493"/>
      <w:r>
        <w:rPr>
          <w:rFonts w:hint="eastAsia"/>
        </w:rPr>
        <w:t>标高竖向</w:t>
      </w:r>
      <w:r>
        <w:t>传递</w:t>
      </w:r>
      <w:bookmarkEnd w:id="63"/>
      <w:bookmarkEnd w:id="64"/>
      <w:bookmarkEnd w:id="65"/>
    </w:p>
    <w:p w14:paraId="1286B7F5">
      <w:pPr>
        <w:pStyle w:val="69"/>
        <w:spacing w:before="120" w:after="120"/>
        <w:ind w:left="0"/>
        <w:rPr>
          <w:rFonts w:ascii="宋体" w:hAnsi="宋体" w:eastAsia="宋体"/>
        </w:rPr>
      </w:pPr>
      <w:r>
        <w:rPr>
          <w:rFonts w:hint="eastAsia" w:ascii="宋体" w:hAnsi="宋体" w:eastAsia="宋体"/>
        </w:rPr>
        <w:t>标高传递可采用悬挂钢尺代替水准尺的水准测量方法或电磁波天顶测距法。采用悬挂钢尺测量方法时，钢尺应采用Ⅰ级钢尺并应进行温度、尺长和拉力改正。传递高度超过钢尺长度时，应设置新的标高基准点；采用电磁波天顶测距法时，宜沿测量洞口、管线洞口垂直向上传递，应至少观测一个测回。</w:t>
      </w:r>
    </w:p>
    <w:p w14:paraId="2571445C">
      <w:pPr>
        <w:pStyle w:val="69"/>
        <w:spacing w:before="120" w:after="120"/>
        <w:ind w:left="0"/>
        <w:rPr>
          <w:rFonts w:ascii="宋体" w:hAnsi="宋体" w:eastAsia="宋体"/>
        </w:rPr>
      </w:pPr>
      <w:r>
        <w:rPr>
          <w:rFonts w:hint="eastAsia" w:ascii="宋体" w:hAnsi="宋体" w:eastAsia="宋体"/>
        </w:rPr>
        <w:t>标高传递距离不大于50m时可采用悬挂钢尺测量方法，标高传递距离大于50m时宜采用电磁波天顶测距法。</w:t>
      </w:r>
    </w:p>
    <w:p w14:paraId="1E580E4C">
      <w:pPr>
        <w:pStyle w:val="69"/>
        <w:spacing w:before="120" w:after="120"/>
        <w:ind w:left="0"/>
        <w:rPr>
          <w:rFonts w:ascii="宋体" w:hAnsi="宋体" w:eastAsia="宋体"/>
        </w:rPr>
      </w:pPr>
      <w:r>
        <w:rPr>
          <w:rFonts w:hint="eastAsia" w:ascii="宋体" w:hAnsi="宋体" w:eastAsia="宋体"/>
        </w:rPr>
        <w:t>标高传递均应从基准点测量，传递完成后，应和下一层标高点进行比对。</w:t>
      </w:r>
    </w:p>
    <w:p w14:paraId="434A08F5">
      <w:pPr>
        <w:pStyle w:val="69"/>
        <w:spacing w:before="120" w:after="120"/>
        <w:ind w:left="0"/>
        <w:rPr>
          <w:rFonts w:ascii="宋体" w:hAnsi="宋体" w:eastAsia="宋体"/>
        </w:rPr>
      </w:pPr>
      <w:r>
        <w:rPr>
          <w:rFonts w:hint="eastAsia" w:ascii="宋体" w:hAnsi="宋体" w:eastAsia="宋体"/>
        </w:rPr>
        <w:t>每栋建筑不应少于3处标高传递点，标高允许偏差应符合表</w:t>
      </w:r>
      <w:r>
        <w:rPr>
          <w:rFonts w:ascii="宋体" w:hAnsi="宋体" w:eastAsia="宋体"/>
        </w:rPr>
        <w:t>10</w:t>
      </w:r>
      <w:r>
        <w:rPr>
          <w:rFonts w:hint="eastAsia" w:ascii="宋体" w:hAnsi="宋体" w:eastAsia="宋体"/>
        </w:rPr>
        <w:t>的规定，</w:t>
      </w:r>
      <w:r>
        <w:rPr>
          <w:rFonts w:ascii="宋体" w:hAnsi="宋体" w:eastAsia="宋体"/>
        </w:rPr>
        <w:t>如有设计要求应符合设计要求</w:t>
      </w:r>
      <w:r>
        <w:rPr>
          <w:rFonts w:hint="eastAsia" w:ascii="宋体" w:hAnsi="宋体" w:eastAsia="宋体"/>
        </w:rPr>
        <w:t>，但不应低于表1</w:t>
      </w:r>
      <w:r>
        <w:rPr>
          <w:rFonts w:ascii="宋体" w:hAnsi="宋体" w:eastAsia="宋体"/>
        </w:rPr>
        <w:t>0</w:t>
      </w:r>
      <w:r>
        <w:rPr>
          <w:rFonts w:hint="eastAsia" w:ascii="宋体" w:hAnsi="宋体" w:eastAsia="宋体"/>
        </w:rPr>
        <w:t>规定。</w:t>
      </w:r>
    </w:p>
    <w:p w14:paraId="52D1DB29">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10</w:t>
      </w:r>
      <w:r>
        <w:rPr>
          <w:rFonts w:hint="eastAsia" w:ascii="黑体" w:hAnsi="黑体" w:eastAsia="黑体"/>
          <w:bCs/>
          <w:color w:val="000000" w:themeColor="text1"/>
          <w14:textFill>
            <w14:solidFill>
              <w14:schemeClr w14:val="tx1"/>
            </w14:solidFill>
          </w14:textFill>
        </w:rPr>
        <w:t xml:space="preserve"> 标高竖向传递允许偏差</w:t>
      </w:r>
    </w:p>
    <w:tbl>
      <w:tblPr>
        <w:tblStyle w:val="29"/>
        <w:tblW w:w="3500" w:type="pct"/>
        <w:jc w:val="center"/>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3163"/>
        <w:gridCol w:w="2668"/>
      </w:tblGrid>
      <w:tr w14:paraId="509F0EF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28" w:type="dxa"/>
            <w:gridSpan w:val="2"/>
            <w:tcBorders>
              <w:top w:val="single" w:color="auto" w:sz="8" w:space="0"/>
              <w:left w:val="single" w:color="auto" w:sz="4" w:space="0"/>
            </w:tcBorders>
            <w:vAlign w:val="center"/>
          </w:tcPr>
          <w:p w14:paraId="53872860">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项目</w:t>
            </w:r>
          </w:p>
        </w:tc>
        <w:tc>
          <w:tcPr>
            <w:tcW w:w="2728" w:type="dxa"/>
            <w:tcBorders>
              <w:top w:val="single" w:color="auto" w:sz="8" w:space="0"/>
            </w:tcBorders>
            <w:vAlign w:val="center"/>
          </w:tcPr>
          <w:p w14:paraId="2A2E650F">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允许</w:t>
            </w:r>
            <w:r>
              <w:rPr>
                <w:rFonts w:hint="eastAsia" w:ascii="宋体" w:hAnsi="宋体"/>
                <w:color w:val="000000" w:themeColor="text1"/>
                <w:sz w:val="18"/>
                <w:szCs w:val="18"/>
                <w14:textFill>
                  <w14:solidFill>
                    <w14:schemeClr w14:val="tx1"/>
                  </w14:solidFill>
                </w14:textFill>
              </w:rPr>
              <w:t>偏</w:t>
            </w:r>
            <w:r>
              <w:rPr>
                <w:rFonts w:ascii="宋体" w:hAnsi="宋体"/>
                <w:color w:val="000000" w:themeColor="text1"/>
                <w:sz w:val="18"/>
                <w:szCs w:val="18"/>
                <w14:textFill>
                  <w14:solidFill>
                    <w14:schemeClr w14:val="tx1"/>
                  </w14:solidFill>
                </w14:textFill>
              </w:rPr>
              <w:t>差</w:t>
            </w: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mm</w:t>
            </w:r>
          </w:p>
        </w:tc>
      </w:tr>
      <w:tr w14:paraId="13FD0F2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28" w:type="dxa"/>
            <w:gridSpan w:val="2"/>
            <w:tcBorders>
              <w:left w:val="single" w:color="auto" w:sz="4" w:space="0"/>
            </w:tcBorders>
            <w:vAlign w:val="center"/>
          </w:tcPr>
          <w:p w14:paraId="7C9A03BE">
            <w:pPr>
              <w:spacing w:line="240" w:lineRule="auto"/>
              <w:ind w:right="630" w:rightChars="300" w:firstLine="360" w:firstLineChars="200"/>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每层</w:t>
            </w:r>
          </w:p>
        </w:tc>
        <w:tc>
          <w:tcPr>
            <w:tcW w:w="2728" w:type="dxa"/>
            <w:vAlign w:val="center"/>
          </w:tcPr>
          <w:p w14:paraId="6F0A224A">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w:t>
            </w:r>
          </w:p>
        </w:tc>
      </w:tr>
      <w:tr w14:paraId="23FD54F8">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restart"/>
            <w:tcBorders>
              <w:left w:val="single" w:color="auto" w:sz="4" w:space="0"/>
            </w:tcBorders>
            <w:tcMar>
              <w:left w:w="0" w:type="dxa"/>
              <w:right w:w="0" w:type="dxa"/>
            </w:tcMar>
            <w:vAlign w:val="center"/>
          </w:tcPr>
          <w:p w14:paraId="1ADA767A">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总高</w:t>
            </w:r>
            <w:r>
              <w:rPr>
                <w:rFonts w:ascii="宋体" w:hAnsi="宋体"/>
                <w:i/>
                <w:iCs/>
                <w:color w:val="000000" w:themeColor="text1"/>
                <w:sz w:val="18"/>
                <w:szCs w:val="18"/>
                <w14:textFill>
                  <w14:solidFill>
                    <w14:schemeClr w14:val="tx1"/>
                  </w14:solidFill>
                </w14:textFill>
              </w:rPr>
              <w:t>H</w:t>
            </w:r>
          </w:p>
          <w:p w14:paraId="17D66F75">
            <w:pPr>
              <w:spacing w:line="240" w:lineRule="auto"/>
              <w:jc w:val="center"/>
              <w:rPr>
                <w:rFonts w:ascii="宋体" w:hAnsi="宋体"/>
                <w:color w:val="000000" w:themeColor="text1"/>
                <w:sz w:val="18"/>
                <w:szCs w:val="18"/>
                <w14:textFill>
                  <w14:solidFill>
                    <w14:schemeClr w14:val="tx1"/>
                  </w14:solidFill>
                </w14:textFill>
              </w:rPr>
            </w:pPr>
          </w:p>
          <w:p w14:paraId="38222704">
            <w:pPr>
              <w:spacing w:line="240" w:lineRule="auto"/>
              <w:jc w:val="center"/>
              <w:rPr>
                <w:rFonts w:ascii="宋体" w:hAnsi="宋体"/>
                <w:i/>
                <w:i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（m）</w:t>
            </w:r>
          </w:p>
        </w:tc>
        <w:tc>
          <w:tcPr>
            <w:tcW w:w="3240" w:type="dxa"/>
            <w:tcBorders>
              <w:left w:val="nil"/>
            </w:tcBorders>
            <w:tcMar>
              <w:left w:w="0" w:type="dxa"/>
              <w:right w:w="0" w:type="dxa"/>
            </w:tcMar>
            <w:vAlign w:val="center"/>
          </w:tcPr>
          <w:p w14:paraId="5BCCCDE7">
            <w:pPr>
              <w:spacing w:line="240" w:lineRule="auto"/>
              <w:ind w:left="-4" w:leftChars="-14" w:hanging="25" w:hangingChars="14"/>
              <w:jc w:val="center"/>
              <w:rPr>
                <w:rFonts w:ascii="宋体" w:hAnsi="宋体"/>
                <w:color w:val="000000" w:themeColor="text1"/>
                <w:sz w:val="18"/>
                <w:szCs w:val="18"/>
                <w14:textFill>
                  <w14:solidFill>
                    <w14:schemeClr w14:val="tx1"/>
                  </w14:solidFill>
                </w14:textFill>
              </w:rPr>
            </w:pP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≤30</w:t>
            </w:r>
          </w:p>
        </w:tc>
        <w:tc>
          <w:tcPr>
            <w:tcW w:w="2728" w:type="dxa"/>
            <w:tcMar>
              <w:left w:w="0" w:type="dxa"/>
              <w:right w:w="0" w:type="dxa"/>
            </w:tcMar>
            <w:vAlign w:val="center"/>
          </w:tcPr>
          <w:p w14:paraId="59B33C34">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w:t>
            </w:r>
          </w:p>
        </w:tc>
      </w:tr>
      <w:tr w14:paraId="7BF6E12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281CB721">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52C0B30C">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≤60</w:t>
            </w:r>
          </w:p>
        </w:tc>
        <w:tc>
          <w:tcPr>
            <w:tcW w:w="2728" w:type="dxa"/>
            <w:tcMar>
              <w:left w:w="0" w:type="dxa"/>
              <w:right w:w="0" w:type="dxa"/>
            </w:tcMar>
            <w:vAlign w:val="center"/>
          </w:tcPr>
          <w:p w14:paraId="68384E3F">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±8</w:t>
            </w:r>
          </w:p>
        </w:tc>
      </w:tr>
      <w:tr w14:paraId="6F805522">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286573A6">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6C22C07A">
            <w:pPr>
              <w:spacing w:line="240" w:lineRule="auto"/>
              <w:ind w:left="-4" w:leftChars="-14" w:hanging="25" w:hanging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60＜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≤90</w:t>
            </w:r>
          </w:p>
        </w:tc>
        <w:tc>
          <w:tcPr>
            <w:tcW w:w="2728" w:type="dxa"/>
            <w:tcMar>
              <w:left w:w="0" w:type="dxa"/>
              <w:right w:w="0" w:type="dxa"/>
            </w:tcMar>
            <w:vAlign w:val="center"/>
          </w:tcPr>
          <w:p w14:paraId="71221AE0">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w:t>
            </w:r>
          </w:p>
        </w:tc>
      </w:tr>
      <w:tr w14:paraId="613A96B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0F15306C">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3C386052">
            <w:pPr>
              <w:spacing w:line="240" w:lineRule="auto"/>
              <w:ind w:left="-4" w:leftChars="-14" w:hanging="25" w:hanging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90＜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≤120</w:t>
            </w:r>
          </w:p>
        </w:tc>
        <w:tc>
          <w:tcPr>
            <w:tcW w:w="2728" w:type="dxa"/>
            <w:tcMar>
              <w:left w:w="0" w:type="dxa"/>
              <w:right w:w="0" w:type="dxa"/>
            </w:tcMar>
            <w:vAlign w:val="center"/>
          </w:tcPr>
          <w:p w14:paraId="4FD212C5">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±16</w:t>
            </w:r>
          </w:p>
        </w:tc>
      </w:tr>
      <w:tr w14:paraId="40B223DF">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60F62BE6">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5F13B9C3">
            <w:pPr>
              <w:spacing w:line="240" w:lineRule="auto"/>
              <w:ind w:left="-4" w:leftChars="-14" w:hanging="25" w:hanging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≤150</w:t>
            </w:r>
          </w:p>
        </w:tc>
        <w:tc>
          <w:tcPr>
            <w:tcW w:w="2728" w:type="dxa"/>
            <w:tcMar>
              <w:left w:w="0" w:type="dxa"/>
              <w:right w:w="0" w:type="dxa"/>
            </w:tcMar>
            <w:vAlign w:val="center"/>
          </w:tcPr>
          <w:p w14:paraId="5C01E680">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±20</w:t>
            </w:r>
          </w:p>
        </w:tc>
      </w:tr>
      <w:tr w14:paraId="7FA1CE18">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68190FF0">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20287BAD">
            <w:pPr>
              <w:spacing w:line="240" w:lineRule="auto"/>
              <w:ind w:left="-4" w:leftChars="-14" w:hanging="25" w:hanging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150＜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≤300</w:t>
            </w:r>
          </w:p>
        </w:tc>
        <w:tc>
          <w:tcPr>
            <w:tcW w:w="2728" w:type="dxa"/>
            <w:tcMar>
              <w:left w:w="0" w:type="dxa"/>
              <w:right w:w="0" w:type="dxa"/>
            </w:tcMar>
            <w:vAlign w:val="center"/>
          </w:tcPr>
          <w:p w14:paraId="6D11FBB9">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±24</w:t>
            </w:r>
          </w:p>
        </w:tc>
      </w:tr>
      <w:tr w14:paraId="395F2C3E">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5E62A0FC">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25983CE7">
            <w:pPr>
              <w:spacing w:line="240" w:lineRule="auto"/>
              <w:ind w:left="-4" w:leftChars="-14" w:hanging="25" w:hangingChars="14"/>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300＜</w:t>
            </w:r>
            <w:r>
              <w:rPr>
                <w:rFonts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≤500</w:t>
            </w:r>
          </w:p>
        </w:tc>
        <w:tc>
          <w:tcPr>
            <w:tcW w:w="2728" w:type="dxa"/>
            <w:tcMar>
              <w:left w:w="0" w:type="dxa"/>
              <w:right w:w="0" w:type="dxa"/>
            </w:tcMar>
            <w:vAlign w:val="center"/>
          </w:tcPr>
          <w:p w14:paraId="1A8152FB">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w:t>
            </w:r>
            <w:r>
              <w:rPr>
                <w:rFonts w:hint="eastAsia"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/12500</w:t>
            </w:r>
          </w:p>
        </w:tc>
      </w:tr>
      <w:tr w14:paraId="353DE16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 w:type="dxa"/>
            <w:vMerge w:val="continue"/>
            <w:tcBorders>
              <w:left w:val="single" w:color="auto" w:sz="4" w:space="0"/>
            </w:tcBorders>
            <w:vAlign w:val="center"/>
          </w:tcPr>
          <w:p w14:paraId="5A6F4CCE">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3240" w:type="dxa"/>
            <w:tcBorders>
              <w:left w:val="nil"/>
            </w:tcBorders>
            <w:tcMar>
              <w:left w:w="0" w:type="dxa"/>
              <w:right w:w="0" w:type="dxa"/>
            </w:tcMar>
            <w:vAlign w:val="center"/>
          </w:tcPr>
          <w:p w14:paraId="0FFCBD0E">
            <w:pPr>
              <w:spacing w:line="240" w:lineRule="auto"/>
              <w:ind w:left="-4" w:leftChars="-14" w:hanging="25" w:hangingChars="14"/>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500＜</w:t>
            </w:r>
            <w:r>
              <w:rPr>
                <w:rFonts w:ascii="宋体" w:hAnsi="宋体"/>
                <w:i/>
                <w:color w:val="000000" w:themeColor="text1"/>
                <w:sz w:val="18"/>
                <w:szCs w:val="18"/>
                <w14:textFill>
                  <w14:solidFill>
                    <w14:schemeClr w14:val="tx1"/>
                  </w14:solidFill>
                </w14:textFill>
              </w:rPr>
              <w:t>H</w:t>
            </w:r>
          </w:p>
        </w:tc>
        <w:tc>
          <w:tcPr>
            <w:tcW w:w="2728" w:type="dxa"/>
            <w:tcMar>
              <w:left w:w="0" w:type="dxa"/>
              <w:right w:w="0" w:type="dxa"/>
            </w:tcMar>
            <w:vAlign w:val="center"/>
          </w:tcPr>
          <w:p w14:paraId="74BB2BF8">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±40</w:t>
            </w:r>
          </w:p>
        </w:tc>
      </w:tr>
    </w:tbl>
    <w:p w14:paraId="0BC729DF">
      <w:pPr>
        <w:pStyle w:val="69"/>
        <w:spacing w:before="120" w:after="120"/>
        <w:ind w:left="0"/>
        <w:rPr>
          <w:rFonts w:ascii="宋体" w:hAnsi="宋体" w:eastAsia="宋体"/>
        </w:rPr>
      </w:pPr>
      <w:r>
        <w:rPr>
          <w:rFonts w:hint="eastAsia" w:ascii="宋体" w:hAnsi="宋体" w:eastAsia="宋体"/>
        </w:rPr>
        <w:t>当同楼层传递的标高点互差小于3mm时，可取其平均值作为施工层的标高基准，否则，应重新传递。当抄测标高时，宜将水准仪安置在待测点范围的中心位置，标高线允许偏差应为±</w:t>
      </w:r>
      <w:r>
        <w:rPr>
          <w:rFonts w:ascii="宋体" w:hAnsi="宋体" w:eastAsia="宋体"/>
        </w:rPr>
        <w:t>3mm</w:t>
      </w:r>
      <w:r>
        <w:rPr>
          <w:rFonts w:hint="eastAsia" w:ascii="宋体" w:hAnsi="宋体" w:eastAsia="宋体"/>
        </w:rPr>
        <w:t>。</w:t>
      </w:r>
    </w:p>
    <w:p w14:paraId="576C47BE">
      <w:pPr>
        <w:pStyle w:val="109"/>
        <w:spacing w:before="120" w:after="120"/>
        <w:ind w:left="0"/>
      </w:pPr>
      <w:bookmarkStart w:id="66" w:name="_Toc203213043"/>
      <w:r>
        <w:rPr>
          <w:rFonts w:hint="eastAsia"/>
        </w:rPr>
        <w:t>数据处理</w:t>
      </w:r>
      <w:bookmarkEnd w:id="66"/>
    </w:p>
    <w:p w14:paraId="10077BD5">
      <w:pPr>
        <w:pStyle w:val="69"/>
        <w:spacing w:before="120" w:after="120"/>
        <w:ind w:left="0"/>
        <w:rPr>
          <w:rFonts w:ascii="宋体" w:hAnsi="宋体" w:eastAsia="宋体"/>
        </w:rPr>
      </w:pPr>
      <w:r>
        <w:rPr>
          <w:rFonts w:hint="eastAsia" w:ascii="宋体" w:hAnsi="宋体" w:eastAsia="宋体"/>
        </w:rPr>
        <w:t>观测工作结束后，应及时整理和检查外业资料，须经两人独立检核、确认合格有效后方可使用。</w:t>
      </w:r>
    </w:p>
    <w:p w14:paraId="687EE6AE">
      <w:pPr>
        <w:pStyle w:val="69"/>
        <w:spacing w:before="120" w:after="120"/>
        <w:ind w:left="0"/>
        <w:rPr>
          <w:rFonts w:ascii="宋体" w:hAnsi="宋体" w:eastAsia="宋体"/>
        </w:rPr>
      </w:pPr>
      <w:r>
        <w:rPr>
          <w:rFonts w:hint="eastAsia" w:ascii="宋体" w:hAnsi="宋体" w:eastAsia="宋体"/>
        </w:rPr>
        <w:t>应采用测试合格的软件，按照对应水准等级处理水准观测数据。</w:t>
      </w:r>
    </w:p>
    <w:p w14:paraId="78252192">
      <w:pPr>
        <w:pStyle w:val="69"/>
        <w:spacing w:before="120" w:after="120"/>
        <w:ind w:left="0"/>
        <w:rPr>
          <w:rFonts w:ascii="宋体" w:hAnsi="宋体" w:eastAsia="宋体"/>
        </w:rPr>
      </w:pPr>
      <w:r>
        <w:rPr>
          <w:rFonts w:hint="eastAsia" w:ascii="宋体" w:hAnsi="宋体" w:eastAsia="宋体"/>
        </w:rPr>
        <w:t>计算数字取位应符合表</w:t>
      </w:r>
      <w:r>
        <w:rPr>
          <w:rFonts w:ascii="宋体" w:hAnsi="宋体" w:eastAsia="宋体"/>
        </w:rPr>
        <w:t>11</w:t>
      </w:r>
      <w:r>
        <w:rPr>
          <w:rFonts w:hint="eastAsia" w:ascii="宋体" w:hAnsi="宋体" w:eastAsia="宋体"/>
        </w:rPr>
        <w:t>的规定。</w:t>
      </w:r>
    </w:p>
    <w:p w14:paraId="376C9855">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11</w:t>
      </w:r>
      <w:r>
        <w:rPr>
          <w:rFonts w:hint="eastAsia" w:ascii="黑体" w:hAnsi="黑体" w:eastAsia="黑体"/>
          <w:bCs/>
          <w:color w:val="000000" w:themeColor="text1"/>
          <w14:textFill>
            <w14:solidFill>
              <w14:schemeClr w14:val="tx1"/>
            </w14:solidFill>
          </w14:textFill>
        </w:rPr>
        <w:t xml:space="preserve">  计算数字取位</w:t>
      </w:r>
    </w:p>
    <w:tbl>
      <w:tblPr>
        <w:tblStyle w:val="29"/>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330"/>
        <w:gridCol w:w="1511"/>
        <w:gridCol w:w="1511"/>
        <w:gridCol w:w="1388"/>
        <w:gridCol w:w="1020"/>
        <w:gridCol w:w="893"/>
      </w:tblGrid>
      <w:tr w14:paraId="21BC0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4" w:type="dxa"/>
            <w:vAlign w:val="center"/>
          </w:tcPr>
          <w:p w14:paraId="1023AB1E">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等级</w:t>
            </w:r>
          </w:p>
        </w:tc>
        <w:tc>
          <w:tcPr>
            <w:tcW w:w="1493" w:type="dxa"/>
            <w:vAlign w:val="center"/>
          </w:tcPr>
          <w:p w14:paraId="5558A616">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往（返</w:t>
            </w:r>
            <w:r>
              <w:rPr>
                <w:rFonts w:hAnsi="宋体"/>
                <w:color w:val="000000" w:themeColor="text1"/>
                <w:sz w:val="18"/>
                <w:szCs w:val="18"/>
                <w14:textFill>
                  <w14:solidFill>
                    <w14:schemeClr w14:val="tx1"/>
                  </w14:solidFill>
                </w14:textFill>
              </w:rPr>
              <w:t>）</w:t>
            </w:r>
            <w:r>
              <w:rPr>
                <w:rFonts w:hint="eastAsia" w:hAnsi="宋体"/>
                <w:color w:val="000000" w:themeColor="text1"/>
                <w:sz w:val="18"/>
                <w:szCs w:val="18"/>
                <w14:textFill>
                  <w14:solidFill>
                    <w14:schemeClr w14:val="tx1"/>
                  </w14:solidFill>
                </w14:textFill>
              </w:rPr>
              <w:t>测距离总和/</w:t>
            </w:r>
            <w:r>
              <w:rPr>
                <w:rFonts w:hAnsi="宋体"/>
                <w:color w:val="000000" w:themeColor="text1"/>
                <w:sz w:val="18"/>
                <w:szCs w:val="18"/>
                <w14:textFill>
                  <w14:solidFill>
                    <w14:schemeClr w14:val="tx1"/>
                  </w14:solidFill>
                </w14:textFill>
              </w:rPr>
              <w:t>km</w:t>
            </w:r>
          </w:p>
        </w:tc>
        <w:tc>
          <w:tcPr>
            <w:tcW w:w="1701" w:type="dxa"/>
            <w:vAlign w:val="center"/>
          </w:tcPr>
          <w:p w14:paraId="71B1346C">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测段距离</w:t>
            </w:r>
            <w:r>
              <w:rPr>
                <w:rFonts w:hAnsi="宋体"/>
                <w:color w:val="000000" w:themeColor="text1"/>
                <w:sz w:val="18"/>
                <w:szCs w:val="18"/>
                <w14:textFill>
                  <w14:solidFill>
                    <w14:schemeClr w14:val="tx1"/>
                  </w14:solidFill>
                </w14:textFill>
              </w:rPr>
              <w:t>中数</w:t>
            </w:r>
            <w:r>
              <w:rPr>
                <w:rFonts w:hint="eastAsia" w:hAnsi="宋体"/>
                <w:color w:val="000000" w:themeColor="text1"/>
                <w:sz w:val="18"/>
                <w:szCs w:val="18"/>
                <w14:textFill>
                  <w14:solidFill>
                    <w14:schemeClr w14:val="tx1"/>
                  </w14:solidFill>
                </w14:textFill>
              </w:rPr>
              <w:t>/</w:t>
            </w:r>
            <w:r>
              <w:rPr>
                <w:rFonts w:hAnsi="宋体"/>
                <w:color w:val="000000" w:themeColor="text1"/>
                <w:sz w:val="18"/>
                <w:szCs w:val="18"/>
                <w14:textFill>
                  <w14:solidFill>
                    <w14:schemeClr w14:val="tx1"/>
                  </w14:solidFill>
                </w14:textFill>
              </w:rPr>
              <w:t>km</w:t>
            </w:r>
          </w:p>
        </w:tc>
        <w:tc>
          <w:tcPr>
            <w:tcW w:w="1701" w:type="dxa"/>
            <w:vAlign w:val="center"/>
          </w:tcPr>
          <w:p w14:paraId="5720ABDF">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各测段高差</w:t>
            </w:r>
            <w:r>
              <w:rPr>
                <w:rFonts w:hAnsi="宋体"/>
                <w:color w:val="000000" w:themeColor="text1"/>
                <w:sz w:val="18"/>
                <w:szCs w:val="18"/>
                <w14:textFill>
                  <w14:solidFill>
                    <w14:schemeClr w14:val="tx1"/>
                  </w14:solidFill>
                </w14:textFill>
              </w:rPr>
              <w:t>/</w:t>
            </w:r>
            <w:r>
              <w:rPr>
                <w:rFonts w:hAnsi="宋体"/>
                <w:iCs/>
                <w:color w:val="000000" w:themeColor="text1"/>
                <w:sz w:val="18"/>
                <w:szCs w:val="18"/>
                <w14:textFill>
                  <w14:solidFill>
                    <w14:schemeClr w14:val="tx1"/>
                  </w14:solidFill>
                </w14:textFill>
              </w:rPr>
              <w:t>mm</w:t>
            </w:r>
          </w:p>
        </w:tc>
        <w:tc>
          <w:tcPr>
            <w:tcW w:w="1559" w:type="dxa"/>
            <w:vAlign w:val="center"/>
          </w:tcPr>
          <w:p w14:paraId="1A1D756F">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往（返</w:t>
            </w:r>
            <w:r>
              <w:rPr>
                <w:rFonts w:hAnsi="宋体"/>
                <w:color w:val="000000" w:themeColor="text1"/>
                <w:sz w:val="18"/>
                <w:szCs w:val="18"/>
                <w14:textFill>
                  <w14:solidFill>
                    <w14:schemeClr w14:val="tx1"/>
                  </w14:solidFill>
                </w14:textFill>
              </w:rPr>
              <w:t>）</w:t>
            </w:r>
            <w:r>
              <w:rPr>
                <w:rFonts w:hint="eastAsia" w:hAnsi="宋体"/>
                <w:color w:val="000000" w:themeColor="text1"/>
                <w:sz w:val="18"/>
                <w:szCs w:val="18"/>
                <w14:textFill>
                  <w14:solidFill>
                    <w14:schemeClr w14:val="tx1"/>
                  </w14:solidFill>
                </w14:textFill>
              </w:rPr>
              <w:t>测高差总和/</w:t>
            </w:r>
            <w:r>
              <w:rPr>
                <w:rFonts w:hAnsi="宋体"/>
                <w:color w:val="000000" w:themeColor="text1"/>
                <w:sz w:val="18"/>
                <w:szCs w:val="18"/>
                <w14:textFill>
                  <w14:solidFill>
                    <w14:schemeClr w14:val="tx1"/>
                  </w14:solidFill>
                </w14:textFill>
              </w:rPr>
              <w:t>mm</w:t>
            </w:r>
          </w:p>
        </w:tc>
        <w:tc>
          <w:tcPr>
            <w:tcW w:w="1134" w:type="dxa"/>
            <w:vAlign w:val="center"/>
          </w:tcPr>
          <w:p w14:paraId="1E2B56E4">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测段高差</w:t>
            </w:r>
            <w:r>
              <w:rPr>
                <w:rFonts w:hAnsi="宋体"/>
                <w:color w:val="000000" w:themeColor="text1"/>
                <w:sz w:val="18"/>
                <w:szCs w:val="18"/>
                <w14:textFill>
                  <w14:solidFill>
                    <w14:schemeClr w14:val="tx1"/>
                  </w14:solidFill>
                </w14:textFill>
              </w:rPr>
              <w:t>中数</w:t>
            </w:r>
            <w:r>
              <w:rPr>
                <w:rFonts w:hint="eastAsia" w:hAnsi="宋体"/>
                <w:color w:val="000000" w:themeColor="text1"/>
                <w:sz w:val="18"/>
                <w:szCs w:val="18"/>
                <w14:textFill>
                  <w14:solidFill>
                    <w14:schemeClr w14:val="tx1"/>
                  </w14:solidFill>
                </w14:textFill>
              </w:rPr>
              <w:t>/</w:t>
            </w:r>
            <w:r>
              <w:rPr>
                <w:rFonts w:hAnsi="宋体"/>
                <w:color w:val="000000" w:themeColor="text1"/>
                <w:sz w:val="18"/>
                <w:szCs w:val="18"/>
                <w14:textFill>
                  <w14:solidFill>
                    <w14:schemeClr w14:val="tx1"/>
                  </w14:solidFill>
                </w14:textFill>
              </w:rPr>
              <w:t>mm</w:t>
            </w:r>
          </w:p>
        </w:tc>
        <w:tc>
          <w:tcPr>
            <w:tcW w:w="988" w:type="dxa"/>
            <w:vAlign w:val="center"/>
          </w:tcPr>
          <w:p w14:paraId="44DB10C6">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水准点</w:t>
            </w:r>
            <w:r>
              <w:rPr>
                <w:rFonts w:hAnsi="宋体"/>
                <w:color w:val="000000" w:themeColor="text1"/>
                <w:sz w:val="18"/>
                <w:szCs w:val="18"/>
                <w14:textFill>
                  <w14:solidFill>
                    <w14:schemeClr w14:val="tx1"/>
                  </w14:solidFill>
                </w14:textFill>
              </w:rPr>
              <w:t>高</w:t>
            </w:r>
            <w:r>
              <w:rPr>
                <w:rFonts w:hint="eastAsia" w:hAnsi="宋体"/>
                <w:color w:val="000000" w:themeColor="text1"/>
                <w:sz w:val="18"/>
                <w:szCs w:val="18"/>
                <w14:textFill>
                  <w14:solidFill>
                    <w14:schemeClr w14:val="tx1"/>
                  </w14:solidFill>
                </w14:textFill>
              </w:rPr>
              <w:t>程/</w:t>
            </w:r>
            <w:r>
              <w:rPr>
                <w:rFonts w:hAnsi="宋体"/>
                <w:color w:val="000000" w:themeColor="text1"/>
                <w:sz w:val="18"/>
                <w:szCs w:val="18"/>
                <w14:textFill>
                  <w14:solidFill>
                    <w14:schemeClr w14:val="tx1"/>
                  </w14:solidFill>
                </w14:textFill>
              </w:rPr>
              <w:t>mm</w:t>
            </w:r>
          </w:p>
        </w:tc>
      </w:tr>
      <w:tr w14:paraId="26034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4" w:type="dxa"/>
            <w:vAlign w:val="center"/>
          </w:tcPr>
          <w:p w14:paraId="43EA4F3A">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一、</w:t>
            </w:r>
            <w:r>
              <w:rPr>
                <w:rFonts w:hAnsi="宋体"/>
                <w:color w:val="000000" w:themeColor="text1"/>
                <w:sz w:val="18"/>
                <w:szCs w:val="18"/>
                <w14:textFill>
                  <w14:solidFill>
                    <w14:schemeClr w14:val="tx1"/>
                  </w14:solidFill>
                </w14:textFill>
              </w:rPr>
              <w:t>二</w:t>
            </w:r>
            <w:r>
              <w:rPr>
                <w:rFonts w:hint="eastAsia" w:hAnsi="宋体"/>
                <w:color w:val="000000" w:themeColor="text1"/>
                <w:sz w:val="18"/>
                <w:szCs w:val="18"/>
                <w14:textFill>
                  <w14:solidFill>
                    <w14:schemeClr w14:val="tx1"/>
                  </w14:solidFill>
                </w14:textFill>
              </w:rPr>
              <w:t>等</w:t>
            </w:r>
          </w:p>
        </w:tc>
        <w:tc>
          <w:tcPr>
            <w:tcW w:w="1493" w:type="dxa"/>
            <w:vAlign w:val="center"/>
          </w:tcPr>
          <w:p w14:paraId="2DEA6C98">
            <w:pPr>
              <w:pStyle w:val="234"/>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0.01</w:t>
            </w:r>
          </w:p>
        </w:tc>
        <w:tc>
          <w:tcPr>
            <w:tcW w:w="1701" w:type="dxa"/>
            <w:vAlign w:val="center"/>
          </w:tcPr>
          <w:p w14:paraId="39AC9CDB">
            <w:pPr>
              <w:pStyle w:val="234"/>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0.1</w:t>
            </w:r>
          </w:p>
        </w:tc>
        <w:tc>
          <w:tcPr>
            <w:tcW w:w="1701" w:type="dxa"/>
            <w:vAlign w:val="center"/>
          </w:tcPr>
          <w:p w14:paraId="08E3744F">
            <w:pPr>
              <w:pStyle w:val="234"/>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0.01</w:t>
            </w:r>
          </w:p>
        </w:tc>
        <w:tc>
          <w:tcPr>
            <w:tcW w:w="1559" w:type="dxa"/>
            <w:vAlign w:val="center"/>
          </w:tcPr>
          <w:p w14:paraId="5114357E">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0</w:t>
            </w:r>
            <w:r>
              <w:rPr>
                <w:rFonts w:hAnsi="宋体"/>
                <w:color w:val="000000" w:themeColor="text1"/>
                <w:sz w:val="18"/>
                <w:szCs w:val="18"/>
                <w14:textFill>
                  <w14:solidFill>
                    <w14:schemeClr w14:val="tx1"/>
                  </w14:solidFill>
                </w14:textFill>
              </w:rPr>
              <w:t>.01</w:t>
            </w:r>
          </w:p>
        </w:tc>
        <w:tc>
          <w:tcPr>
            <w:tcW w:w="1134" w:type="dxa"/>
            <w:vAlign w:val="center"/>
          </w:tcPr>
          <w:p w14:paraId="1C168665">
            <w:pPr>
              <w:pStyle w:val="234"/>
              <w:ind w:firstLine="0" w:firstLineChars="0"/>
              <w:jc w:val="center"/>
              <w:rPr>
                <w:rFonts w:hAnsi="宋体"/>
                <w:color w:val="000000" w:themeColor="text1"/>
                <w:sz w:val="18"/>
                <w:szCs w:val="18"/>
                <w14:textFill>
                  <w14:solidFill>
                    <w14:schemeClr w14:val="tx1"/>
                  </w14:solidFill>
                </w14:textFill>
              </w:rPr>
            </w:pPr>
            <w:r>
              <w:rPr>
                <w:rFonts w:hint="eastAsia" w:hAnsi="宋体"/>
                <w:color w:val="000000" w:themeColor="text1"/>
                <w:sz w:val="18"/>
                <w:szCs w:val="18"/>
                <w14:textFill>
                  <w14:solidFill>
                    <w14:schemeClr w14:val="tx1"/>
                  </w14:solidFill>
                </w14:textFill>
              </w:rPr>
              <w:t>0.1</w:t>
            </w:r>
          </w:p>
        </w:tc>
        <w:tc>
          <w:tcPr>
            <w:tcW w:w="988" w:type="dxa"/>
            <w:vAlign w:val="center"/>
          </w:tcPr>
          <w:p w14:paraId="0AA41FF3">
            <w:pPr>
              <w:pStyle w:val="234"/>
              <w:ind w:firstLine="0" w:firstLineChars="0"/>
              <w:jc w:val="center"/>
              <w:rPr>
                <w:rFonts w:hAnsi="宋体"/>
                <w:color w:val="000000" w:themeColor="text1"/>
                <w:sz w:val="18"/>
                <w:szCs w:val="18"/>
                <w14:textFill>
                  <w14:solidFill>
                    <w14:schemeClr w14:val="tx1"/>
                  </w14:solidFill>
                </w14:textFill>
              </w:rPr>
            </w:pPr>
            <w:r>
              <w:rPr>
                <w:rFonts w:hAnsi="宋体"/>
                <w:color w:val="000000" w:themeColor="text1"/>
                <w:sz w:val="18"/>
                <w:szCs w:val="18"/>
                <w14:textFill>
                  <w14:solidFill>
                    <w14:schemeClr w14:val="tx1"/>
                  </w14:solidFill>
                </w14:textFill>
              </w:rPr>
              <w:t>0.</w:t>
            </w:r>
            <w:r>
              <w:rPr>
                <w:rFonts w:hint="eastAsia" w:hAnsi="宋体"/>
                <w:color w:val="000000" w:themeColor="text1"/>
                <w:sz w:val="18"/>
                <w:szCs w:val="18"/>
                <w14:textFill>
                  <w14:solidFill>
                    <w14:schemeClr w14:val="tx1"/>
                  </w14:solidFill>
                </w14:textFill>
              </w:rPr>
              <w:t>1</w:t>
            </w:r>
          </w:p>
        </w:tc>
      </w:tr>
    </w:tbl>
    <w:p w14:paraId="25EE1201">
      <w:pPr>
        <w:pStyle w:val="69"/>
        <w:spacing w:before="120" w:after="120"/>
        <w:ind w:left="0"/>
        <w:rPr>
          <w:rFonts w:ascii="宋体" w:hAnsi="宋体" w:eastAsia="宋体"/>
        </w:rPr>
      </w:pPr>
      <w:r>
        <w:rPr>
          <w:rFonts w:hint="eastAsia" w:ascii="宋体" w:hAnsi="宋体" w:eastAsia="宋体"/>
        </w:rPr>
        <w:t>数据处理完成后，应汇总下列资料：</w:t>
      </w:r>
    </w:p>
    <w:p w14:paraId="512BD5F0">
      <w:pPr>
        <w:numPr>
          <w:ilvl w:val="0"/>
          <w:numId w:val="40"/>
        </w:numPr>
        <w:adjustRightInd/>
        <w:spacing w:before="120" w:beforeLines="50" w:after="120" w:afterLines="50" w:line="240" w:lineRule="auto"/>
      </w:pPr>
      <w:r>
        <w:rPr>
          <w:rFonts w:hint="eastAsia"/>
        </w:rPr>
        <w:t>起算点资料；</w:t>
      </w:r>
    </w:p>
    <w:p w14:paraId="6BA20470">
      <w:pPr>
        <w:numPr>
          <w:ilvl w:val="0"/>
          <w:numId w:val="40"/>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仪器设备检验</w:t>
      </w:r>
      <w:r>
        <w:rPr>
          <w:color w:val="000000" w:themeColor="text1"/>
          <w14:textFill>
            <w14:solidFill>
              <w14:schemeClr w14:val="tx1"/>
            </w14:solidFill>
          </w14:textFill>
        </w:rPr>
        <w:t>资料；</w:t>
      </w:r>
    </w:p>
    <w:p w14:paraId="68F1FA2E">
      <w:pPr>
        <w:numPr>
          <w:ilvl w:val="0"/>
          <w:numId w:val="40"/>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各项外业观测资料；</w:t>
      </w:r>
    </w:p>
    <w:p w14:paraId="02F12C42">
      <w:pPr>
        <w:numPr>
          <w:ilvl w:val="0"/>
          <w:numId w:val="40"/>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高程控制网示意图；</w:t>
      </w:r>
    </w:p>
    <w:p w14:paraId="37CDA3DC">
      <w:pPr>
        <w:numPr>
          <w:ilvl w:val="0"/>
          <w:numId w:val="40"/>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控制点</w:t>
      </w:r>
      <w:r>
        <w:rPr>
          <w:color w:val="000000" w:themeColor="text1"/>
          <w14:textFill>
            <w14:solidFill>
              <w14:schemeClr w14:val="tx1"/>
            </w14:solidFill>
          </w14:textFill>
        </w:rPr>
        <w:t>点之记；</w:t>
      </w:r>
    </w:p>
    <w:p w14:paraId="6DF858EE">
      <w:pPr>
        <w:numPr>
          <w:ilvl w:val="0"/>
          <w:numId w:val="40"/>
        </w:numPr>
        <w:adjustRightInd/>
        <w:spacing w:before="120" w:beforeLines="50" w:after="120" w:afterLines="50" w:line="240" w:lineRule="auto"/>
        <w:rPr>
          <w:rFonts w:ascii="宋体" w:hAnsi="宋体"/>
        </w:rPr>
      </w:pPr>
      <w:r>
        <w:rPr>
          <w:rFonts w:hint="eastAsia"/>
          <w:color w:val="000000" w:themeColor="text1"/>
          <w14:textFill>
            <w14:solidFill>
              <w14:schemeClr w14:val="tx1"/>
            </w14:solidFill>
          </w14:textFill>
        </w:rPr>
        <w:t>全部内业计算资料及成果表。</w:t>
      </w:r>
    </w:p>
    <w:p w14:paraId="472E93C1">
      <w:pPr>
        <w:pStyle w:val="108"/>
        <w:spacing w:before="240" w:after="240"/>
      </w:pPr>
      <w:bookmarkStart w:id="67" w:name="_Toc203213044"/>
      <w:r>
        <w:rPr>
          <w:rFonts w:hint="eastAsia"/>
        </w:rPr>
        <w:t>深基坑监测</w:t>
      </w:r>
      <w:bookmarkEnd w:id="67"/>
    </w:p>
    <w:p w14:paraId="545EB5A0">
      <w:pPr>
        <w:pStyle w:val="109"/>
        <w:spacing w:before="120" w:after="120"/>
        <w:ind w:left="0"/>
      </w:pPr>
      <w:bookmarkStart w:id="68" w:name="_Toc203213045"/>
      <w:r>
        <w:rPr>
          <w:rFonts w:hint="eastAsia"/>
        </w:rPr>
        <w:t>一般规定</w:t>
      </w:r>
      <w:bookmarkEnd w:id="68"/>
    </w:p>
    <w:p w14:paraId="7C1AE5AB">
      <w:pPr>
        <w:pStyle w:val="69"/>
        <w:spacing w:before="120" w:after="120"/>
        <w:ind w:left="0"/>
        <w:rPr>
          <w:rFonts w:ascii="宋体" w:hAnsi="宋体" w:eastAsia="宋体"/>
        </w:rPr>
      </w:pPr>
      <w:r>
        <w:rPr>
          <w:rFonts w:hint="eastAsia" w:ascii="宋体" w:hAnsi="宋体" w:eastAsia="宋体"/>
        </w:rPr>
        <w:t>深基坑工程施工过程中，施工单位应对深基坑工程进行施工期间的监测。</w:t>
      </w:r>
    </w:p>
    <w:p w14:paraId="5D9F5551">
      <w:pPr>
        <w:pStyle w:val="69"/>
        <w:spacing w:before="120" w:after="120"/>
        <w:ind w:left="0"/>
        <w:rPr>
          <w:rFonts w:ascii="宋体" w:hAnsi="宋体" w:eastAsia="宋体"/>
        </w:rPr>
      </w:pPr>
      <w:r>
        <w:rPr>
          <w:rFonts w:hint="eastAsia" w:ascii="宋体" w:hAnsi="宋体" w:eastAsia="宋体"/>
        </w:rPr>
        <w:t>深基坑监测对象主要包括：支护结构、基坑及周围土体、地下水、基坑周边建（构）筑物、基坑周边重要道路、基坑周边地下管线和设施等。</w:t>
      </w:r>
    </w:p>
    <w:p w14:paraId="7FB2145B">
      <w:pPr>
        <w:pStyle w:val="69"/>
        <w:spacing w:before="120" w:after="120"/>
        <w:ind w:left="0"/>
        <w:rPr>
          <w:rFonts w:ascii="宋体" w:hAnsi="宋体" w:eastAsia="宋体"/>
        </w:rPr>
      </w:pPr>
      <w:r>
        <w:rPr>
          <w:rFonts w:hint="eastAsia" w:ascii="宋体" w:hAnsi="宋体" w:eastAsia="宋体"/>
        </w:rPr>
        <w:t>深基坑监测应按照设计文件要求编制监测方案，监测方案应经设计、监理、建设等单位审批后实施。</w:t>
      </w:r>
    </w:p>
    <w:p w14:paraId="5F331114">
      <w:pPr>
        <w:pStyle w:val="69"/>
        <w:spacing w:before="120" w:after="120"/>
        <w:ind w:left="0"/>
        <w:rPr>
          <w:rFonts w:ascii="宋体" w:hAnsi="宋体" w:eastAsia="宋体"/>
        </w:rPr>
      </w:pPr>
      <w:r>
        <w:rPr>
          <w:rFonts w:hint="eastAsia" w:ascii="宋体" w:hAnsi="宋体" w:eastAsia="宋体"/>
        </w:rPr>
        <w:t>深基坑监测应建立监测基准网，监测基准网由基准点和工作基点组成。监测基准网的布设、测量应符合现行有关标准规定要求。对监测网进行复测，应符合如下规定：</w:t>
      </w:r>
    </w:p>
    <w:p w14:paraId="00F63CB6">
      <w:pPr>
        <w:numPr>
          <w:ilvl w:val="0"/>
          <w:numId w:val="41"/>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在施工过程</w:t>
      </w:r>
      <w:r>
        <w:rPr>
          <w:rFonts w:hint="eastAsia" w:ascii="宋体" w:hAnsi="宋体" w:eastAsia="宋体" w:cs="宋体"/>
          <w:color w:val="000000" w:themeColor="text1"/>
          <w14:textFill>
            <w14:solidFill>
              <w14:schemeClr w14:val="tx1"/>
            </w14:solidFill>
          </w14:textFill>
        </w:rPr>
        <w:t>中宜</w:t>
      </w:r>
      <w:r>
        <w:rPr>
          <w:rFonts w:hint="eastAsia" w:ascii="宋体" w:hAnsi="宋体" w:eastAsia="宋体" w:cs="宋体"/>
        </w:rPr>
        <w:t>1-2个月</w:t>
      </w:r>
      <w:r>
        <w:rPr>
          <w:rFonts w:hint="eastAsia" w:ascii="宋体" w:hAnsi="宋体" w:eastAsia="宋体" w:cs="宋体"/>
          <w:color w:val="000000" w:themeColor="text1"/>
          <w14:textFill>
            <w14:solidFill>
              <w14:schemeClr w14:val="tx1"/>
            </w14:solidFill>
          </w14:textFill>
        </w:rPr>
        <w:t>复测1次</w:t>
      </w:r>
      <w:r>
        <w:rPr>
          <w:rFonts w:hint="eastAsia"/>
          <w:color w:val="000000" w:themeColor="text1"/>
          <w14:textFill>
            <w14:solidFill>
              <w14:schemeClr w14:val="tx1"/>
            </w14:solidFill>
          </w14:textFill>
        </w:rPr>
        <w:t>。</w:t>
      </w:r>
    </w:p>
    <w:p w14:paraId="745BD015">
      <w:pPr>
        <w:numPr>
          <w:ilvl w:val="0"/>
          <w:numId w:val="41"/>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当某期监测发现基准点有可能变动时，应立即复测。</w:t>
      </w:r>
    </w:p>
    <w:p w14:paraId="677A020D">
      <w:pPr>
        <w:numPr>
          <w:ilvl w:val="0"/>
          <w:numId w:val="41"/>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当某期监测中多数监测点成果出现异常，或遇到地震、洪水等外界因素影响时，应立即进行复测，并适当加大复测频率。</w:t>
      </w:r>
    </w:p>
    <w:p w14:paraId="100BBED0">
      <w:pPr>
        <w:pStyle w:val="69"/>
        <w:spacing w:before="120" w:after="120"/>
        <w:ind w:left="0"/>
        <w:rPr>
          <w:rFonts w:ascii="宋体" w:hAnsi="宋体" w:eastAsia="宋体"/>
        </w:rPr>
      </w:pPr>
      <w:r>
        <w:rPr>
          <w:rFonts w:hint="eastAsia" w:ascii="宋体" w:hAnsi="宋体" w:eastAsia="宋体"/>
        </w:rPr>
        <w:t>深基坑监测频率要求高、需要进行连续实时监测或现场条件难以采用人工方式的项目宜采用自动化监测。根据监测项目的安全等级、精度要求、现场作业条件确定自动化监测方法及监测设备，可组合使用多种监测方法。</w:t>
      </w:r>
    </w:p>
    <w:p w14:paraId="6F9A4672">
      <w:pPr>
        <w:pStyle w:val="109"/>
        <w:spacing w:before="120" w:after="120"/>
        <w:ind w:left="0"/>
      </w:pPr>
      <w:bookmarkStart w:id="69" w:name="_Toc203213046"/>
      <w:r>
        <w:rPr>
          <w:rFonts w:hint="eastAsia"/>
        </w:rPr>
        <w:t>监测、现场巡视及预警</w:t>
      </w:r>
      <w:bookmarkEnd w:id="69"/>
    </w:p>
    <w:p w14:paraId="53D93032">
      <w:pPr>
        <w:pStyle w:val="69"/>
        <w:spacing w:before="120" w:after="120"/>
        <w:ind w:left="0"/>
        <w:rPr>
          <w:rFonts w:ascii="宋体" w:hAnsi="宋体" w:eastAsia="宋体"/>
        </w:rPr>
      </w:pPr>
      <w:r>
        <w:rPr>
          <w:rFonts w:hint="eastAsia" w:ascii="宋体" w:hAnsi="宋体" w:eastAsia="宋体"/>
        </w:rPr>
        <w:t>深</w:t>
      </w:r>
      <w:r>
        <w:rPr>
          <w:rFonts w:ascii="宋体" w:hAnsi="宋体" w:eastAsia="宋体"/>
        </w:rPr>
        <w:t>基坑工程现场监测应采用仪器监测与现场巡视相结合的方法。</w:t>
      </w:r>
    </w:p>
    <w:p w14:paraId="29C0E646">
      <w:pPr>
        <w:pStyle w:val="69"/>
        <w:spacing w:before="120" w:after="120"/>
        <w:ind w:left="0"/>
        <w:rPr>
          <w:rFonts w:ascii="宋体" w:hAnsi="宋体" w:eastAsia="宋体"/>
        </w:rPr>
      </w:pPr>
      <w:r>
        <w:rPr>
          <w:rFonts w:hint="eastAsia" w:ascii="宋体" w:hAnsi="宋体" w:eastAsia="宋体"/>
        </w:rPr>
        <w:t>深基坑工程现场监测项目的选择应由基坑工程设计方提出，并充分考虑工程水文地质条件、基坑工程设计、支护结构的特点及变形控制的要求等，基坑监测项目见表1</w:t>
      </w:r>
      <w:r>
        <w:rPr>
          <w:rFonts w:ascii="宋体" w:hAnsi="宋体" w:eastAsia="宋体"/>
        </w:rPr>
        <w:t>2</w:t>
      </w:r>
      <w:r>
        <w:rPr>
          <w:rFonts w:hint="eastAsia" w:ascii="宋体" w:hAnsi="宋体" w:eastAsia="宋体"/>
        </w:rPr>
        <w:t>、表1</w:t>
      </w:r>
      <w:r>
        <w:rPr>
          <w:rFonts w:ascii="宋体" w:hAnsi="宋体" w:eastAsia="宋体"/>
        </w:rPr>
        <w:t>3</w:t>
      </w:r>
      <w:r>
        <w:rPr>
          <w:rFonts w:hint="eastAsia" w:ascii="宋体" w:hAnsi="宋体" w:eastAsia="宋体"/>
        </w:rPr>
        <w:t>。</w:t>
      </w:r>
    </w:p>
    <w:p w14:paraId="6828D289">
      <w:pPr>
        <w:spacing w:before="120" w:beforeLines="50" w:after="120" w:afterLines="50"/>
        <w:jc w:val="center"/>
        <w:rPr>
          <w:rFonts w:ascii="黑体" w:hAnsi="黑体" w:eastAsia="黑体"/>
          <w:bCs/>
          <w:color w:val="000000" w:themeColor="text1"/>
          <w14:textFill>
            <w14:solidFill>
              <w14:schemeClr w14:val="tx1"/>
            </w14:solidFill>
          </w14:textFill>
        </w:rPr>
      </w:pPr>
      <w:r>
        <w:rPr>
          <w:rFonts w:ascii="黑体" w:hAnsi="黑体" w:eastAsia="黑体"/>
          <w:bCs/>
          <w:color w:val="000000" w:themeColor="text1"/>
          <w14:textFill>
            <w14:solidFill>
              <w14:schemeClr w14:val="tx1"/>
            </w14:solidFill>
          </w14:textFill>
        </w:rPr>
        <w:t>表</w:t>
      </w:r>
      <w:r>
        <w:rPr>
          <w:rFonts w:hint="eastAsia" w:ascii="黑体" w:hAnsi="黑体" w:eastAsia="黑体"/>
          <w:bCs/>
          <w:color w:val="000000" w:themeColor="text1"/>
          <w14:textFill>
            <w14:solidFill>
              <w14:schemeClr w14:val="tx1"/>
            </w14:solidFill>
          </w14:textFill>
        </w:rPr>
        <w:t>1</w:t>
      </w:r>
      <w:r>
        <w:rPr>
          <w:rFonts w:ascii="黑体" w:hAnsi="黑体" w:eastAsia="黑体"/>
          <w:bCs/>
          <w:color w:val="000000" w:themeColor="text1"/>
          <w14:textFill>
            <w14:solidFill>
              <w14:schemeClr w14:val="tx1"/>
            </w14:solidFill>
          </w14:textFill>
        </w:rPr>
        <w:t>2 土质基坑工程监测项目</w:t>
      </w:r>
    </w:p>
    <w:tbl>
      <w:tblPr>
        <w:tblStyle w:val="30"/>
        <w:tblW w:w="42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1596"/>
        <w:gridCol w:w="1568"/>
        <w:gridCol w:w="3638"/>
      </w:tblGrid>
      <w:tr w14:paraId="724B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2CE9537B">
            <w:pPr>
              <w:pStyle w:val="60"/>
              <w:ind w:firstLine="0" w:firstLineChars="0"/>
              <w:jc w:val="center"/>
              <w:rPr>
                <w:sz w:val="18"/>
                <w:szCs w:val="18"/>
              </w:rPr>
            </w:pPr>
            <w:r>
              <w:rPr>
                <w:rFonts w:hint="eastAsia"/>
                <w:sz w:val="18"/>
                <w:szCs w:val="18"/>
              </w:rPr>
              <w:t>监测项目</w:t>
            </w:r>
          </w:p>
        </w:tc>
        <w:tc>
          <w:tcPr>
            <w:tcW w:w="1531" w:type="dxa"/>
            <w:vAlign w:val="center"/>
          </w:tcPr>
          <w:p w14:paraId="1B1EE5EA">
            <w:pPr>
              <w:pStyle w:val="60"/>
              <w:ind w:firstLine="0" w:firstLineChars="0"/>
              <w:jc w:val="center"/>
              <w:rPr>
                <w:sz w:val="18"/>
                <w:szCs w:val="18"/>
              </w:rPr>
            </w:pPr>
            <w:r>
              <w:rPr>
                <w:rFonts w:hint="eastAsia"/>
                <w:sz w:val="18"/>
                <w:szCs w:val="18"/>
              </w:rPr>
              <w:t>监测要求</w:t>
            </w:r>
          </w:p>
        </w:tc>
        <w:tc>
          <w:tcPr>
            <w:tcW w:w="3552" w:type="dxa"/>
            <w:vAlign w:val="center"/>
          </w:tcPr>
          <w:p w14:paraId="3999D82A">
            <w:pPr>
              <w:pStyle w:val="60"/>
              <w:ind w:firstLine="0" w:firstLineChars="0"/>
              <w:jc w:val="center"/>
              <w:rPr>
                <w:sz w:val="18"/>
                <w:szCs w:val="18"/>
              </w:rPr>
            </w:pPr>
            <w:r>
              <w:rPr>
                <w:rFonts w:hint="eastAsia"/>
                <w:sz w:val="18"/>
                <w:szCs w:val="18"/>
              </w:rPr>
              <w:t>可采用的自动化监测设备</w:t>
            </w:r>
          </w:p>
        </w:tc>
      </w:tr>
      <w:tr w14:paraId="6C622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06D75B51">
            <w:pPr>
              <w:pStyle w:val="60"/>
              <w:ind w:firstLine="0" w:firstLineChars="0"/>
              <w:jc w:val="center"/>
              <w:rPr>
                <w:sz w:val="18"/>
                <w:szCs w:val="18"/>
              </w:rPr>
            </w:pPr>
            <w:r>
              <w:rPr>
                <w:rFonts w:hint="eastAsia"/>
                <w:sz w:val="18"/>
                <w:szCs w:val="18"/>
              </w:rPr>
              <w:t>围护墙（边坡）顶部水平位移</w:t>
            </w:r>
          </w:p>
        </w:tc>
        <w:tc>
          <w:tcPr>
            <w:tcW w:w="1531" w:type="dxa"/>
            <w:vAlign w:val="center"/>
          </w:tcPr>
          <w:p w14:paraId="5FC502D6">
            <w:pPr>
              <w:pStyle w:val="60"/>
              <w:ind w:firstLine="0" w:firstLineChars="0"/>
              <w:jc w:val="center"/>
              <w:rPr>
                <w:sz w:val="18"/>
                <w:szCs w:val="18"/>
              </w:rPr>
            </w:pPr>
            <w:bookmarkStart w:id="70" w:name="OLE_LINK13"/>
            <w:bookmarkStart w:id="71" w:name="OLE_LINK14"/>
            <w:r>
              <w:rPr>
                <w:rFonts w:hint="eastAsia"/>
                <w:sz w:val="18"/>
                <w:szCs w:val="18"/>
              </w:rPr>
              <w:t>应测</w:t>
            </w:r>
            <w:bookmarkEnd w:id="70"/>
            <w:bookmarkEnd w:id="71"/>
          </w:p>
        </w:tc>
        <w:tc>
          <w:tcPr>
            <w:tcW w:w="3552" w:type="dxa"/>
            <w:vAlign w:val="center"/>
          </w:tcPr>
          <w:p w14:paraId="2F5DAF8E">
            <w:pPr>
              <w:pStyle w:val="60"/>
              <w:ind w:firstLine="0" w:firstLineChars="0"/>
              <w:jc w:val="center"/>
              <w:rPr>
                <w:sz w:val="18"/>
                <w:szCs w:val="18"/>
              </w:rPr>
            </w:pPr>
            <w:r>
              <w:rPr>
                <w:rFonts w:hint="eastAsia"/>
                <w:sz w:val="18"/>
                <w:szCs w:val="18"/>
              </w:rPr>
              <w:t>智能全站仪、GNSS（全球导航卫星系统）、激光位移计、机器视觉</w:t>
            </w:r>
          </w:p>
        </w:tc>
      </w:tr>
      <w:tr w14:paraId="6FCCF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3884B549">
            <w:pPr>
              <w:pStyle w:val="60"/>
              <w:ind w:firstLine="0" w:firstLineChars="0"/>
              <w:jc w:val="center"/>
              <w:rPr>
                <w:sz w:val="18"/>
                <w:szCs w:val="18"/>
              </w:rPr>
            </w:pPr>
            <w:r>
              <w:rPr>
                <w:rFonts w:hint="eastAsia"/>
                <w:sz w:val="18"/>
                <w:szCs w:val="18"/>
              </w:rPr>
              <w:t>围护墙（边坡）顶部竖向位移</w:t>
            </w:r>
          </w:p>
        </w:tc>
        <w:tc>
          <w:tcPr>
            <w:tcW w:w="1531" w:type="dxa"/>
          </w:tcPr>
          <w:p w14:paraId="28896F08">
            <w:pPr>
              <w:pStyle w:val="60"/>
              <w:ind w:firstLine="0" w:firstLineChars="0"/>
              <w:jc w:val="center"/>
              <w:rPr>
                <w:sz w:val="18"/>
                <w:szCs w:val="18"/>
              </w:rPr>
            </w:pPr>
            <w:r>
              <w:rPr>
                <w:rFonts w:hint="eastAsia"/>
                <w:sz w:val="18"/>
                <w:szCs w:val="18"/>
              </w:rPr>
              <w:t>应测</w:t>
            </w:r>
          </w:p>
        </w:tc>
        <w:tc>
          <w:tcPr>
            <w:tcW w:w="3552" w:type="dxa"/>
            <w:vAlign w:val="center"/>
          </w:tcPr>
          <w:p w14:paraId="3A67B44F">
            <w:pPr>
              <w:pStyle w:val="60"/>
              <w:ind w:firstLine="0" w:firstLineChars="0"/>
              <w:jc w:val="center"/>
              <w:rPr>
                <w:sz w:val="18"/>
                <w:szCs w:val="18"/>
              </w:rPr>
            </w:pPr>
            <w:r>
              <w:rPr>
                <w:rFonts w:hint="eastAsia"/>
                <w:sz w:val="18"/>
                <w:szCs w:val="18"/>
              </w:rPr>
              <w:t>智能全站仪、静力水准 仪、激光位移计、机器视觉</w:t>
            </w:r>
          </w:p>
        </w:tc>
      </w:tr>
      <w:tr w14:paraId="05E80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2C04117A">
            <w:pPr>
              <w:pStyle w:val="60"/>
              <w:ind w:firstLine="0" w:firstLineChars="0"/>
              <w:jc w:val="center"/>
              <w:rPr>
                <w:sz w:val="18"/>
                <w:szCs w:val="18"/>
              </w:rPr>
            </w:pPr>
            <w:r>
              <w:rPr>
                <w:rFonts w:hint="eastAsia"/>
                <w:sz w:val="18"/>
                <w:szCs w:val="18"/>
              </w:rPr>
              <w:t>深层水平位移</w:t>
            </w:r>
          </w:p>
        </w:tc>
        <w:tc>
          <w:tcPr>
            <w:tcW w:w="1531" w:type="dxa"/>
          </w:tcPr>
          <w:p w14:paraId="7D0AF769">
            <w:pPr>
              <w:pStyle w:val="60"/>
              <w:ind w:firstLine="0" w:firstLineChars="0"/>
              <w:jc w:val="center"/>
              <w:rPr>
                <w:sz w:val="18"/>
                <w:szCs w:val="18"/>
              </w:rPr>
            </w:pPr>
            <w:r>
              <w:rPr>
                <w:rFonts w:hint="eastAsia"/>
                <w:sz w:val="18"/>
                <w:szCs w:val="18"/>
              </w:rPr>
              <w:t>应测</w:t>
            </w:r>
          </w:p>
        </w:tc>
        <w:tc>
          <w:tcPr>
            <w:tcW w:w="3552" w:type="dxa"/>
            <w:vAlign w:val="center"/>
          </w:tcPr>
          <w:p w14:paraId="1603D7EF">
            <w:pPr>
              <w:pStyle w:val="60"/>
              <w:ind w:firstLine="0" w:firstLineChars="0"/>
              <w:jc w:val="center"/>
              <w:rPr>
                <w:sz w:val="18"/>
                <w:szCs w:val="18"/>
              </w:rPr>
            </w:pPr>
            <w:r>
              <w:rPr>
                <w:rFonts w:hint="eastAsia"/>
                <w:sz w:val="18"/>
                <w:szCs w:val="18"/>
              </w:rPr>
              <w:t>固定式测斜仪、滑动式自动测斜仪、阵列位移计、分布式光纤</w:t>
            </w:r>
          </w:p>
        </w:tc>
      </w:tr>
      <w:tr w14:paraId="15F9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4E605ABC">
            <w:pPr>
              <w:pStyle w:val="60"/>
              <w:ind w:firstLine="0" w:firstLineChars="0"/>
              <w:jc w:val="center"/>
              <w:rPr>
                <w:sz w:val="18"/>
                <w:szCs w:val="18"/>
              </w:rPr>
            </w:pPr>
            <w:r>
              <w:rPr>
                <w:rFonts w:hint="eastAsia"/>
                <w:sz w:val="18"/>
                <w:szCs w:val="18"/>
              </w:rPr>
              <w:t>立柱竖向位移</w:t>
            </w:r>
          </w:p>
        </w:tc>
        <w:tc>
          <w:tcPr>
            <w:tcW w:w="1531" w:type="dxa"/>
          </w:tcPr>
          <w:p w14:paraId="65822341">
            <w:pPr>
              <w:pStyle w:val="60"/>
              <w:ind w:firstLine="0" w:firstLineChars="0"/>
              <w:jc w:val="center"/>
              <w:rPr>
                <w:sz w:val="18"/>
                <w:szCs w:val="18"/>
              </w:rPr>
            </w:pPr>
            <w:r>
              <w:rPr>
                <w:rFonts w:hint="eastAsia"/>
                <w:sz w:val="18"/>
                <w:szCs w:val="18"/>
              </w:rPr>
              <w:t>应测</w:t>
            </w:r>
          </w:p>
        </w:tc>
        <w:tc>
          <w:tcPr>
            <w:tcW w:w="3552" w:type="dxa"/>
            <w:vAlign w:val="center"/>
          </w:tcPr>
          <w:p w14:paraId="676F4FD2">
            <w:pPr>
              <w:pStyle w:val="60"/>
              <w:ind w:firstLine="0" w:firstLineChars="0"/>
              <w:jc w:val="center"/>
              <w:rPr>
                <w:sz w:val="18"/>
                <w:szCs w:val="18"/>
              </w:rPr>
            </w:pPr>
            <w:r>
              <w:rPr>
                <w:rFonts w:hint="eastAsia"/>
                <w:sz w:val="18"/>
                <w:szCs w:val="18"/>
              </w:rPr>
              <w:t>智能全站仪、GNSS（全球导航卫星系统）、激光位移计、机器视觉</w:t>
            </w:r>
          </w:p>
        </w:tc>
      </w:tr>
      <w:tr w14:paraId="291F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5837A9C7">
            <w:pPr>
              <w:pStyle w:val="60"/>
              <w:ind w:firstLine="0" w:firstLineChars="0"/>
              <w:jc w:val="center"/>
              <w:rPr>
                <w:sz w:val="18"/>
                <w:szCs w:val="18"/>
              </w:rPr>
            </w:pPr>
            <w:r>
              <w:rPr>
                <w:rFonts w:hint="eastAsia"/>
                <w:sz w:val="18"/>
                <w:szCs w:val="18"/>
              </w:rPr>
              <w:t>围护墙内力</w:t>
            </w:r>
          </w:p>
        </w:tc>
        <w:tc>
          <w:tcPr>
            <w:tcW w:w="1531" w:type="dxa"/>
            <w:vAlign w:val="center"/>
          </w:tcPr>
          <w:p w14:paraId="202CBC14">
            <w:pPr>
              <w:pStyle w:val="60"/>
              <w:ind w:firstLine="0" w:firstLineChars="0"/>
              <w:jc w:val="center"/>
              <w:rPr>
                <w:sz w:val="18"/>
                <w:szCs w:val="18"/>
              </w:rPr>
            </w:pPr>
            <w:r>
              <w:rPr>
                <w:rFonts w:hint="eastAsia"/>
                <w:sz w:val="18"/>
                <w:szCs w:val="18"/>
              </w:rPr>
              <w:t>宜测</w:t>
            </w:r>
          </w:p>
        </w:tc>
        <w:tc>
          <w:tcPr>
            <w:tcW w:w="3552" w:type="dxa"/>
            <w:vAlign w:val="center"/>
          </w:tcPr>
          <w:p w14:paraId="7DA7C274">
            <w:pPr>
              <w:pStyle w:val="60"/>
              <w:ind w:firstLine="0" w:firstLineChars="0"/>
              <w:jc w:val="center"/>
              <w:rPr>
                <w:sz w:val="18"/>
                <w:szCs w:val="18"/>
              </w:rPr>
            </w:pPr>
            <w:r>
              <w:rPr>
                <w:rFonts w:hint="eastAsia"/>
                <w:sz w:val="18"/>
                <w:szCs w:val="18"/>
              </w:rPr>
              <w:t>钢筋计、混凝土应变计、表面应变计</w:t>
            </w:r>
          </w:p>
        </w:tc>
      </w:tr>
      <w:tr w14:paraId="4A96B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39B390F9">
            <w:pPr>
              <w:pStyle w:val="60"/>
              <w:ind w:firstLine="0" w:firstLineChars="0"/>
              <w:jc w:val="center"/>
              <w:rPr>
                <w:sz w:val="18"/>
                <w:szCs w:val="18"/>
              </w:rPr>
            </w:pPr>
            <w:r>
              <w:rPr>
                <w:rFonts w:hint="eastAsia"/>
                <w:sz w:val="18"/>
                <w:szCs w:val="18"/>
              </w:rPr>
              <w:t>支撑轴力</w:t>
            </w:r>
          </w:p>
        </w:tc>
        <w:tc>
          <w:tcPr>
            <w:tcW w:w="1531" w:type="dxa"/>
            <w:vAlign w:val="center"/>
          </w:tcPr>
          <w:p w14:paraId="321F1154">
            <w:pPr>
              <w:pStyle w:val="60"/>
              <w:ind w:firstLine="0" w:firstLineChars="0"/>
              <w:jc w:val="center"/>
              <w:rPr>
                <w:sz w:val="18"/>
                <w:szCs w:val="18"/>
              </w:rPr>
            </w:pPr>
            <w:r>
              <w:rPr>
                <w:rFonts w:hint="eastAsia"/>
                <w:sz w:val="18"/>
                <w:szCs w:val="18"/>
              </w:rPr>
              <w:t>应测</w:t>
            </w:r>
          </w:p>
        </w:tc>
        <w:tc>
          <w:tcPr>
            <w:tcW w:w="3552" w:type="dxa"/>
            <w:vAlign w:val="center"/>
          </w:tcPr>
          <w:p w14:paraId="15CB052D">
            <w:pPr>
              <w:pStyle w:val="60"/>
              <w:ind w:firstLine="360"/>
              <w:jc w:val="center"/>
              <w:rPr>
                <w:sz w:val="18"/>
                <w:szCs w:val="18"/>
              </w:rPr>
            </w:pPr>
            <w:r>
              <w:rPr>
                <w:rFonts w:hint="eastAsia"/>
                <w:sz w:val="18"/>
                <w:szCs w:val="18"/>
              </w:rPr>
              <w:t>振弦式轴力计、锚索计、应变计、应力计、 钢筋计</w:t>
            </w:r>
          </w:p>
        </w:tc>
      </w:tr>
      <w:tr w14:paraId="436F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62A24F53">
            <w:pPr>
              <w:pStyle w:val="60"/>
              <w:ind w:firstLine="0" w:firstLineChars="0"/>
              <w:jc w:val="center"/>
              <w:rPr>
                <w:sz w:val="18"/>
                <w:szCs w:val="18"/>
              </w:rPr>
            </w:pPr>
            <w:r>
              <w:rPr>
                <w:rFonts w:hint="eastAsia"/>
                <w:sz w:val="18"/>
                <w:szCs w:val="18"/>
              </w:rPr>
              <w:t>立柱内力</w:t>
            </w:r>
          </w:p>
        </w:tc>
        <w:tc>
          <w:tcPr>
            <w:tcW w:w="1531" w:type="dxa"/>
            <w:vAlign w:val="center"/>
          </w:tcPr>
          <w:p w14:paraId="3DE383E5">
            <w:pPr>
              <w:pStyle w:val="60"/>
              <w:ind w:firstLine="0" w:firstLineChars="0"/>
              <w:jc w:val="center"/>
              <w:rPr>
                <w:sz w:val="18"/>
                <w:szCs w:val="18"/>
              </w:rPr>
            </w:pPr>
            <w:r>
              <w:rPr>
                <w:rFonts w:hint="eastAsia"/>
                <w:sz w:val="18"/>
                <w:szCs w:val="18"/>
              </w:rPr>
              <w:t>可测</w:t>
            </w:r>
          </w:p>
        </w:tc>
        <w:tc>
          <w:tcPr>
            <w:tcW w:w="3552" w:type="dxa"/>
            <w:vAlign w:val="center"/>
          </w:tcPr>
          <w:p w14:paraId="01695C8B">
            <w:pPr>
              <w:pStyle w:val="60"/>
              <w:ind w:firstLine="0" w:firstLineChars="0"/>
              <w:jc w:val="center"/>
              <w:rPr>
                <w:sz w:val="18"/>
                <w:szCs w:val="18"/>
              </w:rPr>
            </w:pPr>
            <w:r>
              <w:rPr>
                <w:rFonts w:hint="eastAsia"/>
                <w:sz w:val="18"/>
                <w:szCs w:val="18"/>
              </w:rPr>
              <w:t>钢筋计、混凝土应变计、表面应变计</w:t>
            </w:r>
          </w:p>
        </w:tc>
      </w:tr>
      <w:tr w14:paraId="22317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6EA8C369">
            <w:pPr>
              <w:pStyle w:val="60"/>
              <w:ind w:firstLine="0" w:firstLineChars="0"/>
              <w:jc w:val="center"/>
              <w:rPr>
                <w:sz w:val="18"/>
                <w:szCs w:val="18"/>
              </w:rPr>
            </w:pPr>
            <w:r>
              <w:rPr>
                <w:rFonts w:hint="eastAsia"/>
                <w:sz w:val="18"/>
                <w:szCs w:val="18"/>
              </w:rPr>
              <w:t>锚杆轴力</w:t>
            </w:r>
          </w:p>
        </w:tc>
        <w:tc>
          <w:tcPr>
            <w:tcW w:w="1531" w:type="dxa"/>
            <w:vAlign w:val="center"/>
          </w:tcPr>
          <w:p w14:paraId="6F5DAD03">
            <w:pPr>
              <w:pStyle w:val="60"/>
              <w:ind w:firstLine="0" w:firstLineChars="0"/>
              <w:jc w:val="center"/>
              <w:rPr>
                <w:sz w:val="18"/>
                <w:szCs w:val="18"/>
              </w:rPr>
            </w:pPr>
            <w:r>
              <w:rPr>
                <w:rFonts w:hint="eastAsia"/>
                <w:sz w:val="18"/>
                <w:szCs w:val="18"/>
              </w:rPr>
              <w:t>应测</w:t>
            </w:r>
          </w:p>
        </w:tc>
        <w:tc>
          <w:tcPr>
            <w:tcW w:w="3552" w:type="dxa"/>
            <w:vAlign w:val="center"/>
          </w:tcPr>
          <w:p w14:paraId="4002150B">
            <w:pPr>
              <w:pStyle w:val="60"/>
              <w:ind w:firstLine="0" w:firstLineChars="0"/>
              <w:jc w:val="center"/>
              <w:rPr>
                <w:sz w:val="18"/>
                <w:szCs w:val="18"/>
              </w:rPr>
            </w:pPr>
            <w:r>
              <w:rPr>
                <w:rFonts w:hint="eastAsia"/>
                <w:sz w:val="18"/>
                <w:szCs w:val="18"/>
              </w:rPr>
              <w:t>振弦式轴力计、锚索计、应变计、应力计、 钢筋计</w:t>
            </w:r>
          </w:p>
        </w:tc>
      </w:tr>
      <w:tr w14:paraId="08F0D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1F046893">
            <w:pPr>
              <w:pStyle w:val="60"/>
              <w:ind w:firstLine="0" w:firstLineChars="0"/>
              <w:jc w:val="center"/>
              <w:rPr>
                <w:sz w:val="18"/>
                <w:szCs w:val="18"/>
              </w:rPr>
            </w:pPr>
            <w:r>
              <w:rPr>
                <w:rFonts w:hint="eastAsia"/>
                <w:sz w:val="18"/>
                <w:szCs w:val="18"/>
              </w:rPr>
              <w:t>坑底隆起</w:t>
            </w:r>
          </w:p>
        </w:tc>
        <w:tc>
          <w:tcPr>
            <w:tcW w:w="1531" w:type="dxa"/>
            <w:vAlign w:val="center"/>
          </w:tcPr>
          <w:p w14:paraId="3BCC4881">
            <w:pPr>
              <w:pStyle w:val="60"/>
              <w:ind w:firstLine="0" w:firstLineChars="0"/>
              <w:jc w:val="center"/>
              <w:rPr>
                <w:sz w:val="18"/>
                <w:szCs w:val="18"/>
              </w:rPr>
            </w:pPr>
            <w:r>
              <w:rPr>
                <w:rFonts w:hint="eastAsia"/>
                <w:sz w:val="18"/>
                <w:szCs w:val="18"/>
              </w:rPr>
              <w:t>可测</w:t>
            </w:r>
          </w:p>
        </w:tc>
        <w:tc>
          <w:tcPr>
            <w:tcW w:w="3552" w:type="dxa"/>
            <w:vAlign w:val="center"/>
          </w:tcPr>
          <w:p w14:paraId="67B34328">
            <w:pPr>
              <w:pStyle w:val="60"/>
              <w:ind w:firstLine="0" w:firstLineChars="0"/>
              <w:jc w:val="center"/>
              <w:rPr>
                <w:sz w:val="18"/>
                <w:szCs w:val="18"/>
              </w:rPr>
            </w:pPr>
            <w:r>
              <w:rPr>
                <w:rFonts w:hint="eastAsia"/>
                <w:sz w:val="18"/>
                <w:szCs w:val="18"/>
              </w:rPr>
              <w:t>多点位移计</w:t>
            </w:r>
          </w:p>
        </w:tc>
      </w:tr>
      <w:tr w14:paraId="40DC3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4EE0F21C">
            <w:pPr>
              <w:pStyle w:val="60"/>
              <w:ind w:firstLine="0" w:firstLineChars="0"/>
              <w:jc w:val="center"/>
              <w:rPr>
                <w:sz w:val="18"/>
                <w:szCs w:val="18"/>
              </w:rPr>
            </w:pPr>
            <w:r>
              <w:rPr>
                <w:rFonts w:hint="eastAsia"/>
                <w:sz w:val="18"/>
                <w:szCs w:val="18"/>
              </w:rPr>
              <w:t>围护墙侧向土压力</w:t>
            </w:r>
          </w:p>
        </w:tc>
        <w:tc>
          <w:tcPr>
            <w:tcW w:w="1531" w:type="dxa"/>
            <w:vAlign w:val="center"/>
          </w:tcPr>
          <w:p w14:paraId="612B615F">
            <w:pPr>
              <w:pStyle w:val="60"/>
              <w:ind w:firstLine="0" w:firstLineChars="0"/>
              <w:jc w:val="center"/>
              <w:rPr>
                <w:sz w:val="18"/>
                <w:szCs w:val="18"/>
              </w:rPr>
            </w:pPr>
            <w:r>
              <w:rPr>
                <w:rFonts w:hint="eastAsia"/>
                <w:sz w:val="18"/>
                <w:szCs w:val="18"/>
              </w:rPr>
              <w:t>可测</w:t>
            </w:r>
          </w:p>
        </w:tc>
        <w:tc>
          <w:tcPr>
            <w:tcW w:w="3552" w:type="dxa"/>
            <w:vAlign w:val="center"/>
          </w:tcPr>
          <w:p w14:paraId="635B012E">
            <w:pPr>
              <w:pStyle w:val="60"/>
              <w:ind w:firstLine="0" w:firstLineChars="0"/>
              <w:jc w:val="center"/>
              <w:rPr>
                <w:sz w:val="18"/>
                <w:szCs w:val="18"/>
              </w:rPr>
            </w:pPr>
            <w:r>
              <w:rPr>
                <w:rFonts w:hint="eastAsia"/>
                <w:sz w:val="18"/>
                <w:szCs w:val="18"/>
              </w:rPr>
              <w:t>土压力计</w:t>
            </w:r>
          </w:p>
        </w:tc>
      </w:tr>
      <w:tr w14:paraId="58EB2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50FA4BC3">
            <w:pPr>
              <w:pStyle w:val="60"/>
              <w:ind w:firstLine="0" w:firstLineChars="0"/>
              <w:jc w:val="center"/>
              <w:rPr>
                <w:sz w:val="18"/>
                <w:szCs w:val="18"/>
              </w:rPr>
            </w:pPr>
            <w:r>
              <w:rPr>
                <w:rFonts w:hint="eastAsia"/>
                <w:sz w:val="18"/>
                <w:szCs w:val="18"/>
              </w:rPr>
              <w:t>孔隙水压力</w:t>
            </w:r>
          </w:p>
        </w:tc>
        <w:tc>
          <w:tcPr>
            <w:tcW w:w="1531" w:type="dxa"/>
            <w:vAlign w:val="center"/>
          </w:tcPr>
          <w:p w14:paraId="473B8926">
            <w:pPr>
              <w:pStyle w:val="60"/>
              <w:ind w:firstLine="0" w:firstLineChars="0"/>
              <w:jc w:val="center"/>
              <w:rPr>
                <w:sz w:val="18"/>
                <w:szCs w:val="18"/>
              </w:rPr>
            </w:pPr>
            <w:r>
              <w:rPr>
                <w:rFonts w:hint="eastAsia"/>
                <w:sz w:val="18"/>
                <w:szCs w:val="18"/>
              </w:rPr>
              <w:t>可测</w:t>
            </w:r>
          </w:p>
        </w:tc>
        <w:tc>
          <w:tcPr>
            <w:tcW w:w="3552" w:type="dxa"/>
            <w:vAlign w:val="center"/>
          </w:tcPr>
          <w:p w14:paraId="2CFB4B1D">
            <w:pPr>
              <w:pStyle w:val="60"/>
              <w:ind w:firstLine="0" w:firstLineChars="0"/>
              <w:jc w:val="center"/>
              <w:rPr>
                <w:sz w:val="18"/>
                <w:szCs w:val="18"/>
              </w:rPr>
            </w:pPr>
            <w:r>
              <w:rPr>
                <w:rFonts w:hint="eastAsia"/>
                <w:sz w:val="18"/>
                <w:szCs w:val="18"/>
              </w:rPr>
              <w:t>钢弦式或应变式孔隙水压力计</w:t>
            </w:r>
          </w:p>
        </w:tc>
      </w:tr>
      <w:tr w14:paraId="351C7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12E1DC0E">
            <w:pPr>
              <w:pStyle w:val="60"/>
              <w:ind w:firstLine="0" w:firstLineChars="0"/>
              <w:jc w:val="center"/>
              <w:rPr>
                <w:sz w:val="18"/>
                <w:szCs w:val="18"/>
              </w:rPr>
            </w:pPr>
            <w:r>
              <w:rPr>
                <w:rFonts w:hint="eastAsia"/>
                <w:sz w:val="18"/>
                <w:szCs w:val="18"/>
              </w:rPr>
              <w:t>地下水位</w:t>
            </w:r>
          </w:p>
        </w:tc>
        <w:tc>
          <w:tcPr>
            <w:tcW w:w="1531" w:type="dxa"/>
            <w:vAlign w:val="center"/>
          </w:tcPr>
          <w:p w14:paraId="5EF6D1CF">
            <w:pPr>
              <w:pStyle w:val="60"/>
              <w:ind w:firstLine="0" w:firstLineChars="0"/>
              <w:jc w:val="center"/>
              <w:rPr>
                <w:sz w:val="18"/>
                <w:szCs w:val="18"/>
              </w:rPr>
            </w:pPr>
            <w:r>
              <w:rPr>
                <w:rFonts w:hint="eastAsia"/>
                <w:sz w:val="18"/>
                <w:szCs w:val="18"/>
              </w:rPr>
              <w:t>应测</w:t>
            </w:r>
          </w:p>
        </w:tc>
        <w:tc>
          <w:tcPr>
            <w:tcW w:w="3552" w:type="dxa"/>
            <w:vAlign w:val="center"/>
          </w:tcPr>
          <w:p w14:paraId="42BFDB48">
            <w:pPr>
              <w:pStyle w:val="60"/>
              <w:ind w:firstLine="0" w:firstLineChars="0"/>
              <w:jc w:val="center"/>
              <w:rPr>
                <w:sz w:val="18"/>
                <w:szCs w:val="18"/>
              </w:rPr>
            </w:pPr>
            <w:r>
              <w:rPr>
                <w:rFonts w:hint="eastAsia"/>
                <w:sz w:val="18"/>
                <w:szCs w:val="18"/>
              </w:rPr>
              <w:t>自动化渗压计、水位计</w:t>
            </w:r>
          </w:p>
        </w:tc>
      </w:tr>
      <w:tr w14:paraId="162A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268229A4">
            <w:pPr>
              <w:pStyle w:val="60"/>
              <w:ind w:firstLine="0" w:firstLineChars="0"/>
              <w:jc w:val="center"/>
              <w:rPr>
                <w:sz w:val="18"/>
                <w:szCs w:val="18"/>
              </w:rPr>
            </w:pPr>
            <w:bookmarkStart w:id="72" w:name="OLE_LINK11"/>
            <w:r>
              <w:rPr>
                <w:rFonts w:hint="eastAsia"/>
                <w:sz w:val="18"/>
                <w:szCs w:val="18"/>
              </w:rPr>
              <w:t>土体分层竖向位移</w:t>
            </w:r>
            <w:bookmarkEnd w:id="72"/>
          </w:p>
        </w:tc>
        <w:tc>
          <w:tcPr>
            <w:tcW w:w="1531" w:type="dxa"/>
            <w:vAlign w:val="center"/>
          </w:tcPr>
          <w:p w14:paraId="092D0C0C">
            <w:pPr>
              <w:pStyle w:val="60"/>
              <w:ind w:firstLine="0" w:firstLineChars="0"/>
              <w:jc w:val="center"/>
              <w:rPr>
                <w:sz w:val="18"/>
                <w:szCs w:val="18"/>
              </w:rPr>
            </w:pPr>
            <w:r>
              <w:rPr>
                <w:rFonts w:hint="eastAsia"/>
                <w:sz w:val="18"/>
                <w:szCs w:val="18"/>
              </w:rPr>
              <w:t>可测</w:t>
            </w:r>
          </w:p>
        </w:tc>
        <w:tc>
          <w:tcPr>
            <w:tcW w:w="3552" w:type="dxa"/>
            <w:vAlign w:val="center"/>
          </w:tcPr>
          <w:p w14:paraId="4CC5B898">
            <w:pPr>
              <w:pStyle w:val="60"/>
              <w:ind w:firstLine="0" w:firstLineChars="0"/>
              <w:jc w:val="center"/>
              <w:rPr>
                <w:sz w:val="18"/>
                <w:szCs w:val="18"/>
              </w:rPr>
            </w:pPr>
            <w:r>
              <w:rPr>
                <w:rFonts w:hint="eastAsia"/>
                <w:sz w:val="18"/>
                <w:szCs w:val="18"/>
              </w:rPr>
              <w:t>多点位移计</w:t>
            </w:r>
          </w:p>
        </w:tc>
      </w:tr>
      <w:tr w14:paraId="266B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25DBA60B">
            <w:pPr>
              <w:pStyle w:val="60"/>
              <w:ind w:firstLine="0" w:firstLineChars="0"/>
              <w:jc w:val="center"/>
              <w:rPr>
                <w:sz w:val="18"/>
                <w:szCs w:val="18"/>
              </w:rPr>
            </w:pPr>
            <w:r>
              <w:rPr>
                <w:rFonts w:hint="eastAsia"/>
                <w:sz w:val="18"/>
                <w:szCs w:val="18"/>
              </w:rPr>
              <w:t>周边地表竖向位移</w:t>
            </w:r>
          </w:p>
        </w:tc>
        <w:tc>
          <w:tcPr>
            <w:tcW w:w="1531" w:type="dxa"/>
            <w:vAlign w:val="center"/>
          </w:tcPr>
          <w:p w14:paraId="4003ACAD">
            <w:pPr>
              <w:pStyle w:val="60"/>
              <w:ind w:firstLine="0" w:firstLineChars="0"/>
              <w:jc w:val="center"/>
              <w:rPr>
                <w:sz w:val="18"/>
                <w:szCs w:val="18"/>
              </w:rPr>
            </w:pPr>
            <w:r>
              <w:rPr>
                <w:rFonts w:hint="eastAsia"/>
                <w:sz w:val="18"/>
                <w:szCs w:val="18"/>
              </w:rPr>
              <w:t>应测</w:t>
            </w:r>
          </w:p>
        </w:tc>
        <w:tc>
          <w:tcPr>
            <w:tcW w:w="3552" w:type="dxa"/>
            <w:vAlign w:val="center"/>
          </w:tcPr>
          <w:p w14:paraId="5915BE32">
            <w:pPr>
              <w:pStyle w:val="60"/>
              <w:ind w:firstLine="0" w:firstLineChars="0"/>
              <w:jc w:val="center"/>
              <w:rPr>
                <w:sz w:val="18"/>
                <w:szCs w:val="18"/>
              </w:rPr>
            </w:pPr>
            <w:r>
              <w:rPr>
                <w:rFonts w:hint="eastAsia"/>
                <w:sz w:val="18"/>
                <w:szCs w:val="18"/>
              </w:rPr>
              <w:t>智能全站仪、静力水准仪、激光位移计、机器视觉</w:t>
            </w:r>
          </w:p>
        </w:tc>
      </w:tr>
      <w:tr w14:paraId="081E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1" w:type="dxa"/>
            <w:vMerge w:val="restart"/>
            <w:vAlign w:val="center"/>
          </w:tcPr>
          <w:p w14:paraId="0333D2BA">
            <w:pPr>
              <w:pStyle w:val="60"/>
              <w:ind w:firstLine="0" w:firstLineChars="0"/>
              <w:jc w:val="center"/>
              <w:rPr>
                <w:sz w:val="18"/>
                <w:szCs w:val="18"/>
              </w:rPr>
            </w:pPr>
            <w:r>
              <w:rPr>
                <w:rFonts w:hint="eastAsia"/>
                <w:sz w:val="18"/>
                <w:szCs w:val="18"/>
              </w:rPr>
              <w:t>周边建筑</w:t>
            </w:r>
          </w:p>
        </w:tc>
        <w:tc>
          <w:tcPr>
            <w:tcW w:w="1558" w:type="dxa"/>
            <w:vAlign w:val="center"/>
          </w:tcPr>
          <w:p w14:paraId="5D832599">
            <w:pPr>
              <w:pStyle w:val="60"/>
              <w:ind w:firstLine="0" w:firstLineChars="0"/>
              <w:jc w:val="center"/>
              <w:rPr>
                <w:sz w:val="18"/>
                <w:szCs w:val="18"/>
              </w:rPr>
            </w:pPr>
            <w:r>
              <w:rPr>
                <w:rFonts w:hint="eastAsia"/>
                <w:sz w:val="18"/>
                <w:szCs w:val="18"/>
              </w:rPr>
              <w:t>竖向位移</w:t>
            </w:r>
          </w:p>
        </w:tc>
        <w:tc>
          <w:tcPr>
            <w:tcW w:w="1531" w:type="dxa"/>
            <w:vAlign w:val="center"/>
          </w:tcPr>
          <w:p w14:paraId="23F20CE6">
            <w:pPr>
              <w:pStyle w:val="60"/>
              <w:ind w:firstLine="0" w:firstLineChars="0"/>
              <w:jc w:val="center"/>
              <w:rPr>
                <w:sz w:val="18"/>
                <w:szCs w:val="18"/>
              </w:rPr>
            </w:pPr>
            <w:r>
              <w:rPr>
                <w:rFonts w:hint="eastAsia"/>
                <w:sz w:val="18"/>
                <w:szCs w:val="18"/>
              </w:rPr>
              <w:t>应测</w:t>
            </w:r>
          </w:p>
        </w:tc>
        <w:tc>
          <w:tcPr>
            <w:tcW w:w="3552" w:type="dxa"/>
            <w:vAlign w:val="center"/>
          </w:tcPr>
          <w:p w14:paraId="43BEAA39">
            <w:pPr>
              <w:pStyle w:val="60"/>
              <w:ind w:firstLine="0" w:firstLineChars="0"/>
              <w:jc w:val="center"/>
              <w:rPr>
                <w:sz w:val="18"/>
                <w:szCs w:val="18"/>
              </w:rPr>
            </w:pPr>
            <w:r>
              <w:rPr>
                <w:rFonts w:hint="eastAsia"/>
                <w:sz w:val="18"/>
                <w:szCs w:val="18"/>
              </w:rPr>
              <w:t>智能全站仪、静力水准仪、激光位移计、机器视觉</w:t>
            </w:r>
          </w:p>
        </w:tc>
      </w:tr>
      <w:tr w14:paraId="790F0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1" w:type="dxa"/>
            <w:vMerge w:val="continue"/>
            <w:vAlign w:val="center"/>
          </w:tcPr>
          <w:p w14:paraId="7A69F650">
            <w:pPr>
              <w:pStyle w:val="60"/>
              <w:ind w:firstLine="0" w:firstLineChars="0"/>
              <w:jc w:val="center"/>
              <w:rPr>
                <w:sz w:val="18"/>
                <w:szCs w:val="18"/>
              </w:rPr>
            </w:pPr>
          </w:p>
        </w:tc>
        <w:tc>
          <w:tcPr>
            <w:tcW w:w="1558" w:type="dxa"/>
            <w:vAlign w:val="center"/>
          </w:tcPr>
          <w:p w14:paraId="222BD8E6">
            <w:pPr>
              <w:pStyle w:val="60"/>
              <w:ind w:firstLine="0" w:firstLineChars="0"/>
              <w:jc w:val="center"/>
              <w:rPr>
                <w:sz w:val="18"/>
                <w:szCs w:val="18"/>
              </w:rPr>
            </w:pPr>
            <w:r>
              <w:rPr>
                <w:rFonts w:hint="eastAsia"/>
                <w:sz w:val="18"/>
                <w:szCs w:val="18"/>
              </w:rPr>
              <w:t>倾斜</w:t>
            </w:r>
          </w:p>
        </w:tc>
        <w:tc>
          <w:tcPr>
            <w:tcW w:w="1531" w:type="dxa"/>
            <w:vAlign w:val="center"/>
          </w:tcPr>
          <w:p w14:paraId="5816841F">
            <w:pPr>
              <w:pStyle w:val="60"/>
              <w:ind w:firstLine="0" w:firstLineChars="0"/>
              <w:jc w:val="center"/>
              <w:rPr>
                <w:sz w:val="18"/>
                <w:szCs w:val="18"/>
              </w:rPr>
            </w:pPr>
            <w:r>
              <w:rPr>
                <w:rFonts w:hint="eastAsia"/>
                <w:sz w:val="18"/>
                <w:szCs w:val="18"/>
              </w:rPr>
              <w:t>应测</w:t>
            </w:r>
          </w:p>
        </w:tc>
        <w:tc>
          <w:tcPr>
            <w:tcW w:w="3552" w:type="dxa"/>
            <w:vAlign w:val="center"/>
          </w:tcPr>
          <w:p w14:paraId="2AD2D88B">
            <w:pPr>
              <w:pStyle w:val="60"/>
              <w:ind w:firstLine="0" w:firstLineChars="0"/>
              <w:jc w:val="center"/>
              <w:rPr>
                <w:sz w:val="18"/>
                <w:szCs w:val="18"/>
              </w:rPr>
            </w:pPr>
            <w:r>
              <w:rPr>
                <w:rFonts w:hint="eastAsia"/>
                <w:sz w:val="18"/>
                <w:szCs w:val="18"/>
              </w:rPr>
              <w:t>智能全站仪、智能倾角仪、静力水准仪</w:t>
            </w:r>
          </w:p>
        </w:tc>
      </w:tr>
      <w:tr w14:paraId="4D327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1" w:type="dxa"/>
            <w:vMerge w:val="continue"/>
            <w:vAlign w:val="center"/>
          </w:tcPr>
          <w:p w14:paraId="2072FE22">
            <w:pPr>
              <w:pStyle w:val="60"/>
              <w:ind w:firstLine="0" w:firstLineChars="0"/>
              <w:jc w:val="center"/>
              <w:rPr>
                <w:sz w:val="18"/>
                <w:szCs w:val="18"/>
              </w:rPr>
            </w:pPr>
          </w:p>
        </w:tc>
        <w:tc>
          <w:tcPr>
            <w:tcW w:w="1558" w:type="dxa"/>
            <w:vAlign w:val="center"/>
          </w:tcPr>
          <w:p w14:paraId="7C44FB0E">
            <w:pPr>
              <w:pStyle w:val="60"/>
              <w:ind w:firstLine="0" w:firstLineChars="0"/>
              <w:jc w:val="center"/>
              <w:rPr>
                <w:sz w:val="18"/>
                <w:szCs w:val="18"/>
              </w:rPr>
            </w:pPr>
            <w:r>
              <w:rPr>
                <w:rFonts w:hint="eastAsia"/>
                <w:sz w:val="18"/>
                <w:szCs w:val="18"/>
              </w:rPr>
              <w:t>水平位移</w:t>
            </w:r>
          </w:p>
        </w:tc>
        <w:tc>
          <w:tcPr>
            <w:tcW w:w="1531" w:type="dxa"/>
            <w:vAlign w:val="center"/>
          </w:tcPr>
          <w:p w14:paraId="62BCD80E">
            <w:pPr>
              <w:pStyle w:val="60"/>
              <w:ind w:firstLine="0" w:firstLineChars="0"/>
              <w:jc w:val="center"/>
              <w:rPr>
                <w:sz w:val="18"/>
                <w:szCs w:val="18"/>
              </w:rPr>
            </w:pPr>
            <w:r>
              <w:rPr>
                <w:rFonts w:hint="eastAsia"/>
                <w:sz w:val="18"/>
                <w:szCs w:val="18"/>
              </w:rPr>
              <w:t>宜测</w:t>
            </w:r>
          </w:p>
        </w:tc>
        <w:tc>
          <w:tcPr>
            <w:tcW w:w="3552" w:type="dxa"/>
            <w:vAlign w:val="center"/>
          </w:tcPr>
          <w:p w14:paraId="4D7F67A0">
            <w:pPr>
              <w:pStyle w:val="60"/>
              <w:ind w:firstLine="0" w:firstLineChars="0"/>
              <w:jc w:val="center"/>
              <w:rPr>
                <w:sz w:val="18"/>
                <w:szCs w:val="18"/>
              </w:rPr>
            </w:pPr>
            <w:r>
              <w:rPr>
                <w:rFonts w:hint="eastAsia"/>
                <w:sz w:val="18"/>
                <w:szCs w:val="18"/>
              </w:rPr>
              <w:t>智能全站仪、GNSS（全球导航卫星系统）、激光位移计、机器视觉</w:t>
            </w:r>
          </w:p>
        </w:tc>
      </w:tr>
      <w:tr w14:paraId="4DC6F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34F8B374">
            <w:pPr>
              <w:pStyle w:val="60"/>
              <w:ind w:firstLine="0" w:firstLineChars="0"/>
              <w:jc w:val="center"/>
              <w:rPr>
                <w:sz w:val="18"/>
                <w:szCs w:val="18"/>
              </w:rPr>
            </w:pPr>
            <w:r>
              <w:rPr>
                <w:rFonts w:hint="eastAsia"/>
                <w:sz w:val="18"/>
                <w:szCs w:val="18"/>
              </w:rPr>
              <w:t>周边建筑裂缝、地表裂缝</w:t>
            </w:r>
          </w:p>
        </w:tc>
        <w:tc>
          <w:tcPr>
            <w:tcW w:w="1531" w:type="dxa"/>
            <w:vAlign w:val="center"/>
          </w:tcPr>
          <w:p w14:paraId="7FFC6927">
            <w:pPr>
              <w:pStyle w:val="60"/>
              <w:ind w:firstLine="0" w:firstLineChars="0"/>
              <w:jc w:val="center"/>
              <w:rPr>
                <w:sz w:val="18"/>
                <w:szCs w:val="18"/>
              </w:rPr>
            </w:pPr>
            <w:r>
              <w:rPr>
                <w:rFonts w:hint="eastAsia"/>
                <w:sz w:val="18"/>
                <w:szCs w:val="18"/>
              </w:rPr>
              <w:t>应测</w:t>
            </w:r>
          </w:p>
        </w:tc>
        <w:tc>
          <w:tcPr>
            <w:tcW w:w="3552" w:type="dxa"/>
            <w:vAlign w:val="center"/>
          </w:tcPr>
          <w:p w14:paraId="22050AC2">
            <w:pPr>
              <w:pStyle w:val="60"/>
              <w:ind w:firstLine="0" w:firstLineChars="0"/>
              <w:jc w:val="center"/>
              <w:rPr>
                <w:sz w:val="18"/>
                <w:szCs w:val="18"/>
              </w:rPr>
            </w:pPr>
            <w:r>
              <w:rPr>
                <w:rFonts w:hint="eastAsia"/>
                <w:sz w:val="18"/>
                <w:szCs w:val="18"/>
              </w:rPr>
              <w:t>自动化裂缝计、位移计、摄影测量</w:t>
            </w:r>
          </w:p>
        </w:tc>
      </w:tr>
      <w:tr w14:paraId="05282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1" w:type="dxa"/>
            <w:vMerge w:val="restart"/>
            <w:vAlign w:val="center"/>
          </w:tcPr>
          <w:p w14:paraId="7FE4DE96">
            <w:pPr>
              <w:pStyle w:val="60"/>
              <w:ind w:firstLine="0" w:firstLineChars="0"/>
              <w:jc w:val="center"/>
              <w:rPr>
                <w:sz w:val="18"/>
                <w:szCs w:val="18"/>
              </w:rPr>
            </w:pPr>
            <w:r>
              <w:rPr>
                <w:rFonts w:hint="eastAsia"/>
                <w:sz w:val="18"/>
                <w:szCs w:val="18"/>
              </w:rPr>
              <w:t>周边管线</w:t>
            </w:r>
          </w:p>
        </w:tc>
        <w:tc>
          <w:tcPr>
            <w:tcW w:w="1558" w:type="dxa"/>
            <w:vAlign w:val="center"/>
          </w:tcPr>
          <w:p w14:paraId="078A7E78">
            <w:pPr>
              <w:pStyle w:val="60"/>
              <w:ind w:firstLine="0" w:firstLineChars="0"/>
              <w:jc w:val="center"/>
              <w:rPr>
                <w:sz w:val="18"/>
                <w:szCs w:val="18"/>
              </w:rPr>
            </w:pPr>
            <w:bookmarkStart w:id="73" w:name="OLE_LINK12"/>
            <w:r>
              <w:rPr>
                <w:rFonts w:hint="eastAsia"/>
                <w:sz w:val="18"/>
                <w:szCs w:val="18"/>
              </w:rPr>
              <w:t>竖向位移</w:t>
            </w:r>
            <w:bookmarkEnd w:id="73"/>
          </w:p>
        </w:tc>
        <w:tc>
          <w:tcPr>
            <w:tcW w:w="1531" w:type="dxa"/>
            <w:vAlign w:val="center"/>
          </w:tcPr>
          <w:p w14:paraId="6DB6332E">
            <w:pPr>
              <w:pStyle w:val="60"/>
              <w:ind w:firstLine="0" w:firstLineChars="0"/>
              <w:jc w:val="center"/>
              <w:rPr>
                <w:sz w:val="18"/>
                <w:szCs w:val="18"/>
              </w:rPr>
            </w:pPr>
            <w:r>
              <w:rPr>
                <w:rFonts w:hint="eastAsia"/>
                <w:sz w:val="18"/>
                <w:szCs w:val="18"/>
              </w:rPr>
              <w:t>应测</w:t>
            </w:r>
          </w:p>
        </w:tc>
        <w:tc>
          <w:tcPr>
            <w:tcW w:w="3552" w:type="dxa"/>
            <w:vAlign w:val="center"/>
          </w:tcPr>
          <w:p w14:paraId="26EC76ED">
            <w:pPr>
              <w:pStyle w:val="60"/>
              <w:ind w:firstLine="0" w:firstLineChars="0"/>
              <w:jc w:val="center"/>
              <w:rPr>
                <w:sz w:val="18"/>
                <w:szCs w:val="18"/>
              </w:rPr>
            </w:pPr>
            <w:r>
              <w:rPr>
                <w:rFonts w:hint="eastAsia"/>
                <w:sz w:val="18"/>
                <w:szCs w:val="18"/>
              </w:rPr>
              <w:t>智能全站仪、静力水准仪、激光位移计、机器视觉</w:t>
            </w:r>
          </w:p>
        </w:tc>
      </w:tr>
      <w:tr w14:paraId="506F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1" w:type="dxa"/>
            <w:vMerge w:val="continue"/>
            <w:vAlign w:val="center"/>
          </w:tcPr>
          <w:p w14:paraId="2B37A977">
            <w:pPr>
              <w:pStyle w:val="60"/>
              <w:ind w:firstLine="0" w:firstLineChars="0"/>
              <w:jc w:val="center"/>
              <w:rPr>
                <w:sz w:val="18"/>
                <w:szCs w:val="18"/>
              </w:rPr>
            </w:pPr>
          </w:p>
        </w:tc>
        <w:tc>
          <w:tcPr>
            <w:tcW w:w="1558" w:type="dxa"/>
            <w:vAlign w:val="center"/>
          </w:tcPr>
          <w:p w14:paraId="0DF3FA90">
            <w:pPr>
              <w:pStyle w:val="60"/>
              <w:ind w:firstLine="0" w:firstLineChars="0"/>
              <w:jc w:val="center"/>
              <w:rPr>
                <w:sz w:val="18"/>
                <w:szCs w:val="18"/>
              </w:rPr>
            </w:pPr>
            <w:r>
              <w:rPr>
                <w:rFonts w:hint="eastAsia"/>
                <w:sz w:val="18"/>
                <w:szCs w:val="18"/>
              </w:rPr>
              <w:t>水平位移</w:t>
            </w:r>
          </w:p>
        </w:tc>
        <w:tc>
          <w:tcPr>
            <w:tcW w:w="1531" w:type="dxa"/>
            <w:vAlign w:val="center"/>
          </w:tcPr>
          <w:p w14:paraId="0258BCF9">
            <w:pPr>
              <w:pStyle w:val="60"/>
              <w:ind w:firstLine="0" w:firstLineChars="0"/>
              <w:jc w:val="center"/>
              <w:rPr>
                <w:sz w:val="18"/>
                <w:szCs w:val="18"/>
              </w:rPr>
            </w:pPr>
            <w:r>
              <w:rPr>
                <w:rFonts w:hint="eastAsia"/>
                <w:sz w:val="18"/>
                <w:szCs w:val="18"/>
              </w:rPr>
              <w:t>可测</w:t>
            </w:r>
          </w:p>
        </w:tc>
        <w:tc>
          <w:tcPr>
            <w:tcW w:w="3552" w:type="dxa"/>
            <w:vAlign w:val="center"/>
          </w:tcPr>
          <w:p w14:paraId="0B5B3BDF">
            <w:pPr>
              <w:pStyle w:val="60"/>
              <w:ind w:firstLine="0" w:firstLineChars="0"/>
              <w:jc w:val="center"/>
              <w:rPr>
                <w:sz w:val="18"/>
                <w:szCs w:val="18"/>
              </w:rPr>
            </w:pPr>
            <w:r>
              <w:rPr>
                <w:rFonts w:hint="eastAsia"/>
                <w:sz w:val="18"/>
                <w:szCs w:val="18"/>
              </w:rPr>
              <w:t>智能全站仪、GNSS（全球导航卫星系统）、激光位移计、机器视觉</w:t>
            </w:r>
          </w:p>
        </w:tc>
      </w:tr>
      <w:tr w14:paraId="78644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9" w:type="dxa"/>
            <w:gridSpan w:val="2"/>
            <w:vAlign w:val="center"/>
          </w:tcPr>
          <w:p w14:paraId="0ECCD6FA">
            <w:pPr>
              <w:pStyle w:val="60"/>
              <w:ind w:firstLine="0" w:firstLineChars="0"/>
              <w:jc w:val="center"/>
              <w:rPr>
                <w:sz w:val="18"/>
                <w:szCs w:val="18"/>
              </w:rPr>
            </w:pPr>
            <w:r>
              <w:rPr>
                <w:rFonts w:hint="eastAsia"/>
                <w:sz w:val="18"/>
                <w:szCs w:val="18"/>
              </w:rPr>
              <w:t>周边道路竖向位移</w:t>
            </w:r>
          </w:p>
        </w:tc>
        <w:tc>
          <w:tcPr>
            <w:tcW w:w="1531" w:type="dxa"/>
            <w:vAlign w:val="center"/>
          </w:tcPr>
          <w:p w14:paraId="3675CC34">
            <w:pPr>
              <w:pStyle w:val="60"/>
              <w:ind w:firstLine="0" w:firstLineChars="0"/>
              <w:jc w:val="center"/>
              <w:rPr>
                <w:sz w:val="18"/>
                <w:szCs w:val="18"/>
              </w:rPr>
            </w:pPr>
            <w:r>
              <w:rPr>
                <w:rFonts w:hint="eastAsia"/>
                <w:sz w:val="18"/>
                <w:szCs w:val="18"/>
              </w:rPr>
              <w:t>应测</w:t>
            </w:r>
          </w:p>
        </w:tc>
        <w:tc>
          <w:tcPr>
            <w:tcW w:w="3552" w:type="dxa"/>
            <w:vAlign w:val="center"/>
          </w:tcPr>
          <w:p w14:paraId="3C37CFC9">
            <w:pPr>
              <w:pStyle w:val="60"/>
              <w:ind w:firstLine="0" w:firstLineChars="0"/>
              <w:jc w:val="center"/>
              <w:rPr>
                <w:sz w:val="18"/>
                <w:szCs w:val="18"/>
              </w:rPr>
            </w:pPr>
            <w:r>
              <w:rPr>
                <w:rFonts w:hint="eastAsia"/>
                <w:sz w:val="18"/>
                <w:szCs w:val="18"/>
              </w:rPr>
              <w:t>智能全站仪、静力水准仪、激光位移计、机器视觉</w:t>
            </w:r>
          </w:p>
        </w:tc>
      </w:tr>
      <w:tr w14:paraId="27FC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42" w:type="dxa"/>
            <w:gridSpan w:val="4"/>
            <w:vAlign w:val="center"/>
          </w:tcPr>
          <w:p w14:paraId="6171D659">
            <w:pPr>
              <w:pStyle w:val="60"/>
              <w:ind w:firstLine="0" w:firstLineChars="0"/>
              <w:jc w:val="left"/>
              <w:rPr>
                <w:sz w:val="18"/>
                <w:szCs w:val="18"/>
              </w:rPr>
            </w:pPr>
            <w:r>
              <w:rPr>
                <w:rFonts w:hint="eastAsia"/>
                <w:sz w:val="18"/>
                <w:szCs w:val="18"/>
              </w:rPr>
              <w:t>注：上述自动化监测设备配合自动化采集模块、通讯模块和监测平台进行监测。</w:t>
            </w:r>
          </w:p>
        </w:tc>
      </w:tr>
    </w:tbl>
    <w:p w14:paraId="17020BDB">
      <w:pPr>
        <w:spacing w:before="120" w:beforeLines="50" w:after="120" w:afterLines="50"/>
        <w:jc w:val="center"/>
        <w:rPr>
          <w:rFonts w:ascii="黑体" w:hAnsi="黑体" w:eastAsia="黑体"/>
          <w:bCs/>
          <w:color w:val="000000" w:themeColor="text1"/>
          <w14:textFill>
            <w14:solidFill>
              <w14:schemeClr w14:val="tx1"/>
            </w14:solidFill>
          </w14:textFill>
        </w:rPr>
      </w:pPr>
      <w:r>
        <w:rPr>
          <w:rFonts w:ascii="黑体" w:hAnsi="黑体" w:eastAsia="黑体"/>
          <w:bCs/>
          <w:color w:val="000000" w:themeColor="text1"/>
          <w14:textFill>
            <w14:solidFill>
              <w14:schemeClr w14:val="tx1"/>
            </w14:solidFill>
          </w14:textFill>
        </w:rPr>
        <w:t>表</w:t>
      </w:r>
      <w:r>
        <w:rPr>
          <w:rFonts w:hint="eastAsia" w:ascii="黑体" w:hAnsi="黑体" w:eastAsia="黑体"/>
          <w:bCs/>
          <w:color w:val="000000" w:themeColor="text1"/>
          <w14:textFill>
            <w14:solidFill>
              <w14:schemeClr w14:val="tx1"/>
            </w14:solidFill>
          </w14:textFill>
        </w:rPr>
        <w:t>1</w:t>
      </w:r>
      <w:r>
        <w:rPr>
          <w:rFonts w:ascii="黑体" w:hAnsi="黑体" w:eastAsia="黑体"/>
          <w:bCs/>
          <w:color w:val="000000" w:themeColor="text1"/>
          <w14:textFill>
            <w14:solidFill>
              <w14:schemeClr w14:val="tx1"/>
            </w14:solidFill>
          </w14:textFill>
        </w:rPr>
        <w:t xml:space="preserve">3 </w:t>
      </w:r>
      <w:r>
        <w:rPr>
          <w:rFonts w:hint="eastAsia" w:ascii="黑体" w:hAnsi="黑体" w:eastAsia="黑体"/>
          <w:bCs/>
          <w:color w:val="000000" w:themeColor="text1"/>
          <w14:textFill>
            <w14:solidFill>
              <w14:schemeClr w14:val="tx1"/>
            </w14:solidFill>
          </w14:textFill>
        </w:rPr>
        <w:t>岩体</w:t>
      </w:r>
      <w:r>
        <w:rPr>
          <w:rFonts w:ascii="黑体" w:hAnsi="黑体" w:eastAsia="黑体"/>
          <w:bCs/>
          <w:color w:val="000000" w:themeColor="text1"/>
          <w14:textFill>
            <w14:solidFill>
              <w14:schemeClr w14:val="tx1"/>
            </w14:solidFill>
          </w14:textFill>
        </w:rPr>
        <w:t>基坑工程监测项目</w:t>
      </w:r>
    </w:p>
    <w:tbl>
      <w:tblPr>
        <w:tblStyle w:val="30"/>
        <w:tblW w:w="42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6"/>
        <w:gridCol w:w="1764"/>
        <w:gridCol w:w="1577"/>
        <w:gridCol w:w="3638"/>
      </w:tblGrid>
      <w:tr w14:paraId="6FC2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46520205">
            <w:pPr>
              <w:pStyle w:val="60"/>
              <w:ind w:firstLine="0" w:firstLineChars="0"/>
              <w:jc w:val="center"/>
              <w:rPr>
                <w:sz w:val="18"/>
                <w:szCs w:val="18"/>
              </w:rPr>
            </w:pPr>
            <w:r>
              <w:rPr>
                <w:rFonts w:hint="eastAsia"/>
                <w:sz w:val="18"/>
                <w:szCs w:val="18"/>
              </w:rPr>
              <w:t>监测项目</w:t>
            </w:r>
          </w:p>
        </w:tc>
        <w:tc>
          <w:tcPr>
            <w:tcW w:w="1540" w:type="dxa"/>
            <w:vAlign w:val="center"/>
          </w:tcPr>
          <w:p w14:paraId="223A5E22">
            <w:pPr>
              <w:pStyle w:val="60"/>
              <w:ind w:firstLine="0" w:firstLineChars="0"/>
              <w:jc w:val="center"/>
              <w:rPr>
                <w:sz w:val="18"/>
                <w:szCs w:val="18"/>
              </w:rPr>
            </w:pPr>
            <w:r>
              <w:rPr>
                <w:rFonts w:hint="eastAsia"/>
                <w:sz w:val="18"/>
                <w:szCs w:val="18"/>
              </w:rPr>
              <w:t>监测要求</w:t>
            </w:r>
          </w:p>
        </w:tc>
        <w:tc>
          <w:tcPr>
            <w:tcW w:w="3551" w:type="dxa"/>
            <w:vAlign w:val="center"/>
          </w:tcPr>
          <w:p w14:paraId="0E9436A7">
            <w:pPr>
              <w:pStyle w:val="60"/>
              <w:ind w:firstLine="0" w:firstLineChars="0"/>
              <w:jc w:val="center"/>
              <w:rPr>
                <w:sz w:val="18"/>
                <w:szCs w:val="18"/>
              </w:rPr>
            </w:pPr>
            <w:r>
              <w:rPr>
                <w:rFonts w:hint="eastAsia"/>
                <w:sz w:val="18"/>
                <w:szCs w:val="18"/>
              </w:rPr>
              <w:t>可采用的自动化监测设备</w:t>
            </w:r>
          </w:p>
        </w:tc>
      </w:tr>
      <w:tr w14:paraId="28F15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5C95CCD2">
            <w:pPr>
              <w:pStyle w:val="60"/>
              <w:ind w:firstLine="0" w:firstLineChars="0"/>
              <w:jc w:val="center"/>
              <w:rPr>
                <w:sz w:val="18"/>
                <w:szCs w:val="18"/>
              </w:rPr>
            </w:pPr>
            <w:r>
              <w:rPr>
                <w:rFonts w:hint="eastAsia"/>
                <w:sz w:val="18"/>
                <w:szCs w:val="18"/>
              </w:rPr>
              <w:t>坑顶水平位移</w:t>
            </w:r>
          </w:p>
        </w:tc>
        <w:tc>
          <w:tcPr>
            <w:tcW w:w="1540" w:type="dxa"/>
            <w:vAlign w:val="center"/>
          </w:tcPr>
          <w:p w14:paraId="0E39B063">
            <w:pPr>
              <w:pStyle w:val="60"/>
              <w:ind w:firstLine="0" w:firstLineChars="0"/>
              <w:jc w:val="center"/>
              <w:rPr>
                <w:sz w:val="18"/>
                <w:szCs w:val="18"/>
              </w:rPr>
            </w:pPr>
            <w:r>
              <w:rPr>
                <w:rFonts w:hint="eastAsia"/>
                <w:sz w:val="18"/>
                <w:szCs w:val="18"/>
              </w:rPr>
              <w:t>应测</w:t>
            </w:r>
          </w:p>
        </w:tc>
        <w:tc>
          <w:tcPr>
            <w:tcW w:w="3551" w:type="dxa"/>
            <w:vAlign w:val="center"/>
          </w:tcPr>
          <w:p w14:paraId="05EC40E6">
            <w:pPr>
              <w:pStyle w:val="60"/>
              <w:ind w:firstLine="0" w:firstLineChars="0"/>
              <w:jc w:val="center"/>
              <w:rPr>
                <w:sz w:val="18"/>
                <w:szCs w:val="18"/>
              </w:rPr>
            </w:pPr>
            <w:r>
              <w:rPr>
                <w:rFonts w:hint="eastAsia"/>
                <w:sz w:val="18"/>
                <w:szCs w:val="18"/>
              </w:rPr>
              <w:t>智能全站仪、GNSS（全球导航卫星系统）、激光位移计、机器视觉</w:t>
            </w:r>
          </w:p>
        </w:tc>
      </w:tr>
      <w:tr w14:paraId="6974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5BD150E6">
            <w:pPr>
              <w:pStyle w:val="60"/>
              <w:ind w:firstLine="0" w:firstLineChars="0"/>
              <w:jc w:val="center"/>
              <w:rPr>
                <w:sz w:val="18"/>
                <w:szCs w:val="18"/>
              </w:rPr>
            </w:pPr>
            <w:r>
              <w:rPr>
                <w:rFonts w:hint="eastAsia"/>
                <w:sz w:val="18"/>
                <w:szCs w:val="18"/>
              </w:rPr>
              <w:t>坑顶竖向位移</w:t>
            </w:r>
          </w:p>
        </w:tc>
        <w:tc>
          <w:tcPr>
            <w:tcW w:w="1540" w:type="dxa"/>
            <w:vAlign w:val="center"/>
          </w:tcPr>
          <w:p w14:paraId="44354C18">
            <w:pPr>
              <w:pStyle w:val="60"/>
              <w:ind w:firstLine="0" w:firstLineChars="0"/>
              <w:jc w:val="center"/>
              <w:rPr>
                <w:sz w:val="18"/>
                <w:szCs w:val="18"/>
              </w:rPr>
            </w:pPr>
            <w:r>
              <w:rPr>
                <w:rFonts w:hint="eastAsia"/>
                <w:sz w:val="18"/>
                <w:szCs w:val="18"/>
              </w:rPr>
              <w:t>应测</w:t>
            </w:r>
          </w:p>
        </w:tc>
        <w:tc>
          <w:tcPr>
            <w:tcW w:w="3551" w:type="dxa"/>
            <w:vAlign w:val="center"/>
          </w:tcPr>
          <w:p w14:paraId="76414BCB">
            <w:pPr>
              <w:pStyle w:val="60"/>
              <w:ind w:firstLine="0" w:firstLineChars="0"/>
              <w:jc w:val="center"/>
              <w:rPr>
                <w:sz w:val="18"/>
                <w:szCs w:val="18"/>
              </w:rPr>
            </w:pPr>
            <w:r>
              <w:rPr>
                <w:rFonts w:hint="eastAsia"/>
                <w:sz w:val="18"/>
                <w:szCs w:val="18"/>
              </w:rPr>
              <w:t>智能全站仪、静力水准仪、激光位移计、机器视觉</w:t>
            </w:r>
          </w:p>
        </w:tc>
      </w:tr>
      <w:tr w14:paraId="4DB5C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53E7656F">
            <w:pPr>
              <w:pStyle w:val="60"/>
              <w:ind w:firstLine="0" w:firstLineChars="0"/>
              <w:jc w:val="center"/>
              <w:rPr>
                <w:sz w:val="18"/>
                <w:szCs w:val="18"/>
              </w:rPr>
            </w:pPr>
            <w:r>
              <w:rPr>
                <w:rFonts w:hint="eastAsia"/>
                <w:sz w:val="18"/>
                <w:szCs w:val="18"/>
              </w:rPr>
              <w:t>锚杆轴力</w:t>
            </w:r>
          </w:p>
        </w:tc>
        <w:tc>
          <w:tcPr>
            <w:tcW w:w="1540" w:type="dxa"/>
            <w:vAlign w:val="center"/>
          </w:tcPr>
          <w:p w14:paraId="0FC32AB7">
            <w:pPr>
              <w:pStyle w:val="60"/>
              <w:ind w:firstLine="0" w:firstLineChars="0"/>
              <w:jc w:val="center"/>
              <w:rPr>
                <w:sz w:val="18"/>
                <w:szCs w:val="18"/>
              </w:rPr>
            </w:pPr>
            <w:r>
              <w:rPr>
                <w:rFonts w:hint="eastAsia"/>
                <w:sz w:val="18"/>
                <w:szCs w:val="18"/>
              </w:rPr>
              <w:t>应测</w:t>
            </w:r>
          </w:p>
        </w:tc>
        <w:tc>
          <w:tcPr>
            <w:tcW w:w="3551" w:type="dxa"/>
            <w:vAlign w:val="center"/>
          </w:tcPr>
          <w:p w14:paraId="2E2E402D">
            <w:pPr>
              <w:pStyle w:val="60"/>
              <w:ind w:firstLine="0" w:firstLineChars="0"/>
              <w:jc w:val="center"/>
              <w:rPr>
                <w:sz w:val="18"/>
                <w:szCs w:val="18"/>
              </w:rPr>
            </w:pPr>
            <w:r>
              <w:rPr>
                <w:rFonts w:hint="eastAsia"/>
                <w:sz w:val="18"/>
                <w:szCs w:val="18"/>
              </w:rPr>
              <w:t>弦式轴力计、锚索计、应变计、应力计、钢筋计</w:t>
            </w:r>
          </w:p>
        </w:tc>
      </w:tr>
      <w:tr w14:paraId="3C4DC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4CD1D3A6">
            <w:pPr>
              <w:pStyle w:val="60"/>
              <w:ind w:firstLine="0" w:firstLineChars="0"/>
              <w:jc w:val="center"/>
              <w:rPr>
                <w:sz w:val="18"/>
                <w:szCs w:val="18"/>
              </w:rPr>
            </w:pPr>
            <w:r>
              <w:rPr>
                <w:rFonts w:hint="eastAsia"/>
                <w:sz w:val="18"/>
                <w:szCs w:val="18"/>
              </w:rPr>
              <w:t>地下水</w:t>
            </w:r>
          </w:p>
        </w:tc>
        <w:tc>
          <w:tcPr>
            <w:tcW w:w="1540" w:type="dxa"/>
            <w:vAlign w:val="center"/>
          </w:tcPr>
          <w:p w14:paraId="6480A341">
            <w:pPr>
              <w:pStyle w:val="60"/>
              <w:ind w:firstLine="0" w:firstLineChars="0"/>
              <w:jc w:val="center"/>
              <w:rPr>
                <w:sz w:val="18"/>
                <w:szCs w:val="18"/>
              </w:rPr>
            </w:pPr>
            <w:r>
              <w:rPr>
                <w:rFonts w:hint="eastAsia"/>
                <w:sz w:val="18"/>
                <w:szCs w:val="18"/>
              </w:rPr>
              <w:t>宜测</w:t>
            </w:r>
          </w:p>
        </w:tc>
        <w:tc>
          <w:tcPr>
            <w:tcW w:w="3551" w:type="dxa"/>
            <w:vAlign w:val="center"/>
          </w:tcPr>
          <w:p w14:paraId="078BFFC4">
            <w:pPr>
              <w:pStyle w:val="60"/>
              <w:ind w:firstLine="0" w:firstLineChars="0"/>
              <w:jc w:val="center"/>
              <w:rPr>
                <w:sz w:val="18"/>
                <w:szCs w:val="18"/>
              </w:rPr>
            </w:pPr>
            <w:r>
              <w:rPr>
                <w:rFonts w:hint="eastAsia"/>
                <w:sz w:val="18"/>
                <w:szCs w:val="18"/>
              </w:rPr>
              <w:t>自动化渗压计、水位计</w:t>
            </w:r>
          </w:p>
        </w:tc>
      </w:tr>
      <w:tr w14:paraId="4208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261F65A7">
            <w:pPr>
              <w:pStyle w:val="60"/>
              <w:ind w:firstLine="0" w:firstLineChars="0"/>
              <w:jc w:val="center"/>
              <w:rPr>
                <w:sz w:val="18"/>
                <w:szCs w:val="18"/>
              </w:rPr>
            </w:pPr>
            <w:r>
              <w:rPr>
                <w:rFonts w:hint="eastAsia"/>
                <w:sz w:val="18"/>
                <w:szCs w:val="18"/>
              </w:rPr>
              <w:t>周边地表竖向位移</w:t>
            </w:r>
          </w:p>
        </w:tc>
        <w:tc>
          <w:tcPr>
            <w:tcW w:w="1540" w:type="dxa"/>
            <w:vAlign w:val="center"/>
          </w:tcPr>
          <w:p w14:paraId="0327A008">
            <w:pPr>
              <w:pStyle w:val="60"/>
              <w:ind w:firstLine="0" w:firstLineChars="0"/>
              <w:jc w:val="center"/>
              <w:rPr>
                <w:sz w:val="18"/>
                <w:szCs w:val="18"/>
              </w:rPr>
            </w:pPr>
            <w:r>
              <w:rPr>
                <w:rFonts w:hint="eastAsia"/>
                <w:sz w:val="18"/>
                <w:szCs w:val="18"/>
              </w:rPr>
              <w:t>应测</w:t>
            </w:r>
          </w:p>
        </w:tc>
        <w:tc>
          <w:tcPr>
            <w:tcW w:w="3551" w:type="dxa"/>
            <w:vAlign w:val="center"/>
          </w:tcPr>
          <w:p w14:paraId="5E3A7A7B">
            <w:pPr>
              <w:pStyle w:val="60"/>
              <w:ind w:firstLine="0" w:firstLineChars="0"/>
              <w:jc w:val="center"/>
              <w:rPr>
                <w:sz w:val="18"/>
                <w:szCs w:val="18"/>
              </w:rPr>
            </w:pPr>
            <w:r>
              <w:rPr>
                <w:rFonts w:hint="eastAsia"/>
                <w:sz w:val="18"/>
                <w:szCs w:val="18"/>
              </w:rPr>
              <w:t>智能全站仪、静力水准仪、激光位移计、机器视觉</w:t>
            </w:r>
          </w:p>
        </w:tc>
      </w:tr>
      <w:tr w14:paraId="0CB8C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restart"/>
            <w:vAlign w:val="center"/>
          </w:tcPr>
          <w:p w14:paraId="7D7AE119">
            <w:pPr>
              <w:pStyle w:val="60"/>
              <w:ind w:firstLine="0" w:firstLineChars="0"/>
              <w:jc w:val="center"/>
              <w:rPr>
                <w:sz w:val="18"/>
                <w:szCs w:val="18"/>
              </w:rPr>
            </w:pPr>
            <w:r>
              <w:rPr>
                <w:rFonts w:hint="eastAsia"/>
                <w:sz w:val="18"/>
                <w:szCs w:val="18"/>
              </w:rPr>
              <w:t>周边建筑</w:t>
            </w:r>
          </w:p>
        </w:tc>
        <w:tc>
          <w:tcPr>
            <w:tcW w:w="1722" w:type="dxa"/>
            <w:vAlign w:val="center"/>
          </w:tcPr>
          <w:p w14:paraId="651312E7">
            <w:pPr>
              <w:pStyle w:val="60"/>
              <w:ind w:firstLine="0" w:firstLineChars="0"/>
              <w:jc w:val="center"/>
              <w:rPr>
                <w:sz w:val="18"/>
                <w:szCs w:val="18"/>
              </w:rPr>
            </w:pPr>
            <w:r>
              <w:rPr>
                <w:rFonts w:hint="eastAsia"/>
                <w:sz w:val="18"/>
                <w:szCs w:val="18"/>
              </w:rPr>
              <w:t>竖向位移</w:t>
            </w:r>
          </w:p>
        </w:tc>
        <w:tc>
          <w:tcPr>
            <w:tcW w:w="1540" w:type="dxa"/>
            <w:vAlign w:val="center"/>
          </w:tcPr>
          <w:p w14:paraId="4AA0B8DF">
            <w:pPr>
              <w:pStyle w:val="60"/>
              <w:ind w:firstLine="0" w:firstLineChars="0"/>
              <w:jc w:val="center"/>
              <w:rPr>
                <w:sz w:val="18"/>
                <w:szCs w:val="18"/>
              </w:rPr>
            </w:pPr>
            <w:r>
              <w:rPr>
                <w:rFonts w:hint="eastAsia"/>
                <w:sz w:val="18"/>
                <w:szCs w:val="18"/>
              </w:rPr>
              <w:t>应测</w:t>
            </w:r>
          </w:p>
        </w:tc>
        <w:tc>
          <w:tcPr>
            <w:tcW w:w="3551" w:type="dxa"/>
            <w:vAlign w:val="center"/>
          </w:tcPr>
          <w:p w14:paraId="48EF3531">
            <w:pPr>
              <w:pStyle w:val="60"/>
              <w:ind w:firstLine="0" w:firstLineChars="0"/>
              <w:jc w:val="center"/>
              <w:rPr>
                <w:sz w:val="18"/>
                <w:szCs w:val="18"/>
              </w:rPr>
            </w:pPr>
            <w:r>
              <w:rPr>
                <w:rFonts w:hint="eastAsia"/>
                <w:sz w:val="18"/>
                <w:szCs w:val="18"/>
              </w:rPr>
              <w:t>智能全站仪、静力水准仪、激光位移计、机器视觉</w:t>
            </w:r>
          </w:p>
        </w:tc>
      </w:tr>
      <w:tr w14:paraId="7B147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14:paraId="593AB5E3">
            <w:pPr>
              <w:pStyle w:val="60"/>
              <w:ind w:firstLine="0" w:firstLineChars="0"/>
              <w:jc w:val="center"/>
              <w:rPr>
                <w:sz w:val="18"/>
                <w:szCs w:val="18"/>
              </w:rPr>
            </w:pPr>
          </w:p>
        </w:tc>
        <w:tc>
          <w:tcPr>
            <w:tcW w:w="1722" w:type="dxa"/>
            <w:vAlign w:val="center"/>
          </w:tcPr>
          <w:p w14:paraId="420DE8A4">
            <w:pPr>
              <w:pStyle w:val="60"/>
              <w:ind w:firstLine="0" w:firstLineChars="0"/>
              <w:jc w:val="center"/>
              <w:rPr>
                <w:sz w:val="18"/>
                <w:szCs w:val="18"/>
              </w:rPr>
            </w:pPr>
            <w:r>
              <w:rPr>
                <w:rFonts w:hint="eastAsia"/>
                <w:sz w:val="18"/>
                <w:szCs w:val="18"/>
              </w:rPr>
              <w:t>倾斜</w:t>
            </w:r>
          </w:p>
        </w:tc>
        <w:tc>
          <w:tcPr>
            <w:tcW w:w="1540" w:type="dxa"/>
            <w:vAlign w:val="center"/>
          </w:tcPr>
          <w:p w14:paraId="0C649873">
            <w:pPr>
              <w:pStyle w:val="60"/>
              <w:ind w:firstLine="0" w:firstLineChars="0"/>
              <w:jc w:val="center"/>
              <w:rPr>
                <w:sz w:val="18"/>
                <w:szCs w:val="18"/>
              </w:rPr>
            </w:pPr>
            <w:r>
              <w:rPr>
                <w:rFonts w:hint="eastAsia"/>
                <w:sz w:val="18"/>
                <w:szCs w:val="18"/>
              </w:rPr>
              <w:t>应测</w:t>
            </w:r>
          </w:p>
        </w:tc>
        <w:tc>
          <w:tcPr>
            <w:tcW w:w="3551" w:type="dxa"/>
            <w:vAlign w:val="center"/>
          </w:tcPr>
          <w:p w14:paraId="02A698AB">
            <w:pPr>
              <w:pStyle w:val="60"/>
              <w:ind w:firstLine="0" w:firstLineChars="0"/>
              <w:jc w:val="center"/>
              <w:rPr>
                <w:sz w:val="18"/>
                <w:szCs w:val="18"/>
              </w:rPr>
            </w:pPr>
            <w:r>
              <w:rPr>
                <w:rFonts w:hint="eastAsia"/>
                <w:sz w:val="18"/>
                <w:szCs w:val="18"/>
              </w:rPr>
              <w:t>智能全站仪、智能倾角仪、静力水准仪</w:t>
            </w:r>
          </w:p>
        </w:tc>
      </w:tr>
      <w:tr w14:paraId="7748E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14:paraId="28B482D0">
            <w:pPr>
              <w:pStyle w:val="60"/>
              <w:ind w:firstLine="0" w:firstLineChars="0"/>
              <w:jc w:val="center"/>
              <w:rPr>
                <w:sz w:val="18"/>
                <w:szCs w:val="18"/>
              </w:rPr>
            </w:pPr>
          </w:p>
        </w:tc>
        <w:tc>
          <w:tcPr>
            <w:tcW w:w="1722" w:type="dxa"/>
            <w:vAlign w:val="center"/>
          </w:tcPr>
          <w:p w14:paraId="76EACCC8">
            <w:pPr>
              <w:pStyle w:val="60"/>
              <w:ind w:firstLine="0" w:firstLineChars="0"/>
              <w:jc w:val="center"/>
              <w:rPr>
                <w:sz w:val="18"/>
                <w:szCs w:val="18"/>
              </w:rPr>
            </w:pPr>
            <w:r>
              <w:rPr>
                <w:rFonts w:hint="eastAsia"/>
                <w:sz w:val="18"/>
                <w:szCs w:val="18"/>
              </w:rPr>
              <w:t>水平位移</w:t>
            </w:r>
          </w:p>
        </w:tc>
        <w:tc>
          <w:tcPr>
            <w:tcW w:w="1540" w:type="dxa"/>
            <w:vAlign w:val="center"/>
          </w:tcPr>
          <w:p w14:paraId="1C5F96D8">
            <w:pPr>
              <w:pStyle w:val="60"/>
              <w:ind w:firstLine="0" w:firstLineChars="0"/>
              <w:jc w:val="center"/>
              <w:rPr>
                <w:sz w:val="18"/>
                <w:szCs w:val="18"/>
              </w:rPr>
            </w:pPr>
            <w:r>
              <w:rPr>
                <w:rFonts w:hint="eastAsia"/>
                <w:sz w:val="18"/>
                <w:szCs w:val="18"/>
              </w:rPr>
              <w:t>可测</w:t>
            </w:r>
          </w:p>
        </w:tc>
        <w:tc>
          <w:tcPr>
            <w:tcW w:w="3551" w:type="dxa"/>
            <w:vAlign w:val="center"/>
          </w:tcPr>
          <w:p w14:paraId="7DB34BC6">
            <w:pPr>
              <w:pStyle w:val="60"/>
              <w:ind w:firstLine="0" w:firstLineChars="0"/>
              <w:jc w:val="center"/>
              <w:rPr>
                <w:sz w:val="18"/>
                <w:szCs w:val="18"/>
              </w:rPr>
            </w:pPr>
            <w:r>
              <w:rPr>
                <w:rFonts w:hint="eastAsia"/>
                <w:sz w:val="18"/>
                <w:szCs w:val="18"/>
              </w:rPr>
              <w:t>智能全站仪、GNSS（全球导航卫星系统）、激光位移计、机器视觉</w:t>
            </w:r>
          </w:p>
        </w:tc>
      </w:tr>
      <w:tr w14:paraId="63028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7B749309">
            <w:pPr>
              <w:pStyle w:val="60"/>
              <w:ind w:firstLine="0" w:firstLineChars="0"/>
              <w:jc w:val="center"/>
              <w:rPr>
                <w:sz w:val="18"/>
                <w:szCs w:val="18"/>
              </w:rPr>
            </w:pPr>
            <w:r>
              <w:rPr>
                <w:rFonts w:hint="eastAsia"/>
                <w:sz w:val="18"/>
                <w:szCs w:val="18"/>
              </w:rPr>
              <w:t>周边建筑裂缝、地表裂缝</w:t>
            </w:r>
          </w:p>
        </w:tc>
        <w:tc>
          <w:tcPr>
            <w:tcW w:w="1540" w:type="dxa"/>
            <w:vAlign w:val="center"/>
          </w:tcPr>
          <w:p w14:paraId="0EA48FDA">
            <w:pPr>
              <w:pStyle w:val="60"/>
              <w:ind w:firstLine="0" w:firstLineChars="0"/>
              <w:jc w:val="center"/>
              <w:rPr>
                <w:sz w:val="18"/>
                <w:szCs w:val="18"/>
              </w:rPr>
            </w:pPr>
            <w:r>
              <w:rPr>
                <w:rFonts w:hint="eastAsia"/>
                <w:sz w:val="18"/>
                <w:szCs w:val="18"/>
              </w:rPr>
              <w:t>应测</w:t>
            </w:r>
          </w:p>
        </w:tc>
        <w:tc>
          <w:tcPr>
            <w:tcW w:w="3551" w:type="dxa"/>
            <w:vAlign w:val="center"/>
          </w:tcPr>
          <w:p w14:paraId="1164532E">
            <w:pPr>
              <w:pStyle w:val="60"/>
              <w:ind w:firstLine="0" w:firstLineChars="0"/>
              <w:jc w:val="center"/>
              <w:rPr>
                <w:sz w:val="18"/>
                <w:szCs w:val="18"/>
              </w:rPr>
            </w:pPr>
            <w:r>
              <w:rPr>
                <w:rFonts w:hint="eastAsia"/>
                <w:sz w:val="18"/>
                <w:szCs w:val="18"/>
              </w:rPr>
              <w:t>自动化裂缝计、位移计、摄影测量</w:t>
            </w:r>
          </w:p>
        </w:tc>
      </w:tr>
      <w:tr w14:paraId="12340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restart"/>
            <w:vAlign w:val="center"/>
          </w:tcPr>
          <w:p w14:paraId="27CED654">
            <w:pPr>
              <w:pStyle w:val="60"/>
              <w:ind w:firstLine="0" w:firstLineChars="0"/>
              <w:jc w:val="center"/>
              <w:rPr>
                <w:sz w:val="18"/>
                <w:szCs w:val="18"/>
              </w:rPr>
            </w:pPr>
            <w:r>
              <w:rPr>
                <w:rFonts w:hint="eastAsia"/>
                <w:sz w:val="18"/>
                <w:szCs w:val="18"/>
              </w:rPr>
              <w:t>周边管线</w:t>
            </w:r>
          </w:p>
        </w:tc>
        <w:tc>
          <w:tcPr>
            <w:tcW w:w="1722" w:type="dxa"/>
            <w:vAlign w:val="center"/>
          </w:tcPr>
          <w:p w14:paraId="616DF954">
            <w:pPr>
              <w:pStyle w:val="60"/>
              <w:ind w:firstLine="0" w:firstLineChars="0"/>
              <w:jc w:val="center"/>
              <w:rPr>
                <w:sz w:val="18"/>
                <w:szCs w:val="18"/>
              </w:rPr>
            </w:pPr>
            <w:r>
              <w:rPr>
                <w:rFonts w:hint="eastAsia"/>
                <w:sz w:val="18"/>
                <w:szCs w:val="18"/>
              </w:rPr>
              <w:t>竖向位移</w:t>
            </w:r>
          </w:p>
        </w:tc>
        <w:tc>
          <w:tcPr>
            <w:tcW w:w="1540" w:type="dxa"/>
            <w:vAlign w:val="center"/>
          </w:tcPr>
          <w:p w14:paraId="31BDB370">
            <w:pPr>
              <w:pStyle w:val="60"/>
              <w:ind w:firstLine="0" w:firstLineChars="0"/>
              <w:jc w:val="center"/>
              <w:rPr>
                <w:sz w:val="18"/>
                <w:szCs w:val="18"/>
              </w:rPr>
            </w:pPr>
            <w:r>
              <w:rPr>
                <w:rFonts w:hint="eastAsia"/>
                <w:sz w:val="18"/>
                <w:szCs w:val="18"/>
              </w:rPr>
              <w:t>应测</w:t>
            </w:r>
          </w:p>
        </w:tc>
        <w:tc>
          <w:tcPr>
            <w:tcW w:w="3551" w:type="dxa"/>
            <w:vAlign w:val="center"/>
          </w:tcPr>
          <w:p w14:paraId="5EB66C3C">
            <w:pPr>
              <w:pStyle w:val="60"/>
              <w:ind w:firstLine="0" w:firstLineChars="0"/>
              <w:jc w:val="center"/>
              <w:rPr>
                <w:sz w:val="18"/>
                <w:szCs w:val="18"/>
              </w:rPr>
            </w:pPr>
            <w:r>
              <w:rPr>
                <w:rFonts w:hint="eastAsia"/>
                <w:sz w:val="18"/>
                <w:szCs w:val="18"/>
              </w:rPr>
              <w:t>智能全站仪、静力水准仪、激光位移计、机器视觉</w:t>
            </w:r>
          </w:p>
        </w:tc>
      </w:tr>
      <w:tr w14:paraId="71F7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14:paraId="082071CE">
            <w:pPr>
              <w:pStyle w:val="60"/>
              <w:ind w:firstLine="0" w:firstLineChars="0"/>
              <w:jc w:val="center"/>
              <w:rPr>
                <w:sz w:val="18"/>
                <w:szCs w:val="18"/>
              </w:rPr>
            </w:pPr>
          </w:p>
        </w:tc>
        <w:tc>
          <w:tcPr>
            <w:tcW w:w="1722" w:type="dxa"/>
            <w:vAlign w:val="center"/>
          </w:tcPr>
          <w:p w14:paraId="6022B96B">
            <w:pPr>
              <w:pStyle w:val="60"/>
              <w:ind w:firstLine="0" w:firstLineChars="0"/>
              <w:jc w:val="center"/>
              <w:rPr>
                <w:sz w:val="18"/>
                <w:szCs w:val="18"/>
              </w:rPr>
            </w:pPr>
            <w:r>
              <w:rPr>
                <w:rFonts w:hint="eastAsia"/>
                <w:sz w:val="18"/>
                <w:szCs w:val="18"/>
              </w:rPr>
              <w:t>水平位移</w:t>
            </w:r>
          </w:p>
        </w:tc>
        <w:tc>
          <w:tcPr>
            <w:tcW w:w="1540" w:type="dxa"/>
            <w:vAlign w:val="center"/>
          </w:tcPr>
          <w:p w14:paraId="4D4E8B25">
            <w:pPr>
              <w:pStyle w:val="60"/>
              <w:ind w:firstLine="0" w:firstLineChars="0"/>
              <w:jc w:val="center"/>
              <w:rPr>
                <w:sz w:val="18"/>
                <w:szCs w:val="18"/>
              </w:rPr>
            </w:pPr>
            <w:r>
              <w:rPr>
                <w:rFonts w:hint="eastAsia"/>
                <w:sz w:val="18"/>
                <w:szCs w:val="18"/>
              </w:rPr>
              <w:t>宜测</w:t>
            </w:r>
          </w:p>
        </w:tc>
        <w:tc>
          <w:tcPr>
            <w:tcW w:w="3551" w:type="dxa"/>
            <w:vAlign w:val="center"/>
          </w:tcPr>
          <w:p w14:paraId="1A6D1ACC">
            <w:pPr>
              <w:pStyle w:val="60"/>
              <w:ind w:firstLine="0" w:firstLineChars="0"/>
              <w:jc w:val="center"/>
              <w:rPr>
                <w:sz w:val="18"/>
                <w:szCs w:val="18"/>
              </w:rPr>
            </w:pPr>
            <w:r>
              <w:rPr>
                <w:rFonts w:hint="eastAsia"/>
                <w:sz w:val="18"/>
                <w:szCs w:val="18"/>
              </w:rPr>
              <w:t>智能全站仪、GNSS（全球导航卫星系统）、激光位移计、机器视觉</w:t>
            </w:r>
          </w:p>
        </w:tc>
      </w:tr>
      <w:tr w14:paraId="3C5A0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1" w:type="dxa"/>
            <w:gridSpan w:val="2"/>
            <w:vAlign w:val="center"/>
          </w:tcPr>
          <w:p w14:paraId="23E17E80">
            <w:pPr>
              <w:pStyle w:val="60"/>
              <w:ind w:firstLine="0" w:firstLineChars="0"/>
              <w:jc w:val="center"/>
              <w:rPr>
                <w:sz w:val="18"/>
                <w:szCs w:val="18"/>
              </w:rPr>
            </w:pPr>
            <w:r>
              <w:rPr>
                <w:rFonts w:hint="eastAsia"/>
                <w:sz w:val="18"/>
                <w:szCs w:val="18"/>
              </w:rPr>
              <w:t>周边道路竖向位移</w:t>
            </w:r>
          </w:p>
        </w:tc>
        <w:tc>
          <w:tcPr>
            <w:tcW w:w="1540" w:type="dxa"/>
            <w:vAlign w:val="center"/>
          </w:tcPr>
          <w:p w14:paraId="44813071">
            <w:pPr>
              <w:pStyle w:val="60"/>
              <w:ind w:firstLine="0" w:firstLineChars="0"/>
              <w:jc w:val="center"/>
              <w:rPr>
                <w:sz w:val="18"/>
                <w:szCs w:val="18"/>
              </w:rPr>
            </w:pPr>
            <w:r>
              <w:rPr>
                <w:rFonts w:hint="eastAsia"/>
                <w:sz w:val="18"/>
                <w:szCs w:val="18"/>
              </w:rPr>
              <w:t>应测</w:t>
            </w:r>
          </w:p>
        </w:tc>
        <w:tc>
          <w:tcPr>
            <w:tcW w:w="3551" w:type="dxa"/>
            <w:vAlign w:val="center"/>
          </w:tcPr>
          <w:p w14:paraId="4D1755DF">
            <w:pPr>
              <w:pStyle w:val="60"/>
              <w:ind w:firstLine="0" w:firstLineChars="0"/>
              <w:jc w:val="center"/>
              <w:rPr>
                <w:sz w:val="18"/>
                <w:szCs w:val="18"/>
              </w:rPr>
            </w:pPr>
            <w:r>
              <w:rPr>
                <w:rFonts w:hint="eastAsia"/>
                <w:sz w:val="18"/>
                <w:szCs w:val="18"/>
              </w:rPr>
              <w:t>智能全站仪、静力水准仪、激光位移计、机器视觉</w:t>
            </w:r>
          </w:p>
        </w:tc>
      </w:tr>
      <w:tr w14:paraId="1AD26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42" w:type="dxa"/>
            <w:gridSpan w:val="4"/>
            <w:vAlign w:val="center"/>
          </w:tcPr>
          <w:p w14:paraId="4FABDBA6">
            <w:pPr>
              <w:pStyle w:val="60"/>
              <w:ind w:firstLine="0" w:firstLineChars="0"/>
              <w:jc w:val="left"/>
              <w:rPr>
                <w:sz w:val="18"/>
                <w:szCs w:val="18"/>
              </w:rPr>
            </w:pPr>
            <w:r>
              <w:rPr>
                <w:rFonts w:hint="eastAsia"/>
                <w:sz w:val="18"/>
                <w:szCs w:val="18"/>
              </w:rPr>
              <w:t>注：上述自动化监测设备配合自动化采集模块、通讯模块和监测平台进行监测。</w:t>
            </w:r>
          </w:p>
        </w:tc>
      </w:tr>
    </w:tbl>
    <w:p w14:paraId="2C04E94F">
      <w:pPr>
        <w:pStyle w:val="69"/>
        <w:spacing w:before="120" w:after="120"/>
        <w:ind w:left="0"/>
        <w:rPr>
          <w:rFonts w:ascii="宋体" w:hAnsi="宋体" w:eastAsia="宋体"/>
        </w:rPr>
      </w:pPr>
      <w:r>
        <w:rPr>
          <w:rFonts w:hint="eastAsia" w:ascii="宋体" w:hAnsi="宋体" w:eastAsia="宋体"/>
        </w:rPr>
        <w:t>监测频率应以准确反映围护结构、周边环境动态变化为前提，能系统反映监测对象的重要变化过程为原则，以周期性监测为主，监测频率见表1</w:t>
      </w:r>
      <w:r>
        <w:rPr>
          <w:rFonts w:ascii="宋体" w:hAnsi="宋体" w:eastAsia="宋体"/>
        </w:rPr>
        <w:t>4</w:t>
      </w:r>
      <w:r>
        <w:rPr>
          <w:rFonts w:hint="eastAsia" w:ascii="宋体" w:hAnsi="宋体" w:eastAsia="宋体"/>
        </w:rPr>
        <w:t>。</w:t>
      </w:r>
    </w:p>
    <w:p w14:paraId="4B57679F">
      <w:pPr>
        <w:spacing w:before="120" w:beforeLines="50" w:after="120" w:afterLines="50"/>
        <w:jc w:val="center"/>
        <w:rPr>
          <w:rFonts w:ascii="黑体" w:hAnsi="黑体" w:eastAsia="黑体"/>
          <w:bCs/>
          <w:color w:val="000000" w:themeColor="text1"/>
          <w14:textFill>
            <w14:solidFill>
              <w14:schemeClr w14:val="tx1"/>
            </w14:solidFill>
          </w14:textFill>
        </w:rPr>
      </w:pPr>
      <w:r>
        <w:rPr>
          <w:rFonts w:ascii="黑体" w:hAnsi="黑体" w:eastAsia="黑体"/>
          <w:bCs/>
          <w:color w:val="000000" w:themeColor="text1"/>
          <w14:textFill>
            <w14:solidFill>
              <w14:schemeClr w14:val="tx1"/>
            </w14:solidFill>
          </w14:textFill>
        </w:rPr>
        <w:t>表 14 基坑监测频率</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7"/>
        <w:gridCol w:w="1836"/>
        <w:gridCol w:w="3046"/>
      </w:tblGrid>
      <w:tr w14:paraId="64B5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7" w:type="dxa"/>
            <w:gridSpan w:val="2"/>
            <w:vAlign w:val="center"/>
          </w:tcPr>
          <w:p w14:paraId="767FA959">
            <w:pPr>
              <w:pStyle w:val="60"/>
              <w:ind w:firstLine="0" w:firstLineChars="0"/>
              <w:jc w:val="center"/>
              <w:rPr>
                <w:sz w:val="18"/>
                <w:szCs w:val="18"/>
              </w:rPr>
            </w:pPr>
            <w:r>
              <w:rPr>
                <w:rFonts w:hint="eastAsia"/>
                <w:sz w:val="18"/>
                <w:szCs w:val="18"/>
              </w:rPr>
              <w:t>施工进程</w:t>
            </w:r>
          </w:p>
        </w:tc>
        <w:tc>
          <w:tcPr>
            <w:tcW w:w="2974" w:type="dxa"/>
            <w:vAlign w:val="center"/>
          </w:tcPr>
          <w:p w14:paraId="67C0AE93">
            <w:pPr>
              <w:pStyle w:val="60"/>
              <w:ind w:firstLine="0" w:firstLineChars="0"/>
              <w:jc w:val="center"/>
              <w:rPr>
                <w:sz w:val="18"/>
                <w:szCs w:val="18"/>
              </w:rPr>
            </w:pPr>
            <w:r>
              <w:rPr>
                <w:rFonts w:hint="eastAsia"/>
                <w:sz w:val="18"/>
                <w:szCs w:val="18"/>
              </w:rPr>
              <w:t>监测频率</w:t>
            </w:r>
          </w:p>
        </w:tc>
      </w:tr>
      <w:tr w14:paraId="6EC97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restart"/>
            <w:vAlign w:val="center"/>
          </w:tcPr>
          <w:p w14:paraId="33260214">
            <w:pPr>
              <w:pStyle w:val="60"/>
              <w:ind w:firstLine="0" w:firstLineChars="0"/>
              <w:jc w:val="center"/>
              <w:rPr>
                <w:sz w:val="18"/>
                <w:szCs w:val="18"/>
              </w:rPr>
            </w:pPr>
            <w:r>
              <w:rPr>
                <w:rFonts w:hint="eastAsia"/>
                <w:sz w:val="18"/>
                <w:szCs w:val="18"/>
              </w:rPr>
              <w:t>开挖深度</w:t>
            </w:r>
          </w:p>
          <w:p w14:paraId="1F3D8F01">
            <w:pPr>
              <w:pStyle w:val="60"/>
              <w:ind w:firstLine="0" w:firstLineChars="0"/>
              <w:jc w:val="center"/>
              <w:rPr>
                <w:sz w:val="18"/>
                <w:szCs w:val="18"/>
              </w:rPr>
            </w:pPr>
            <w:r>
              <w:rPr>
                <w:rFonts w:hint="eastAsia"/>
                <w:sz w:val="18"/>
                <w:szCs w:val="18"/>
              </w:rPr>
              <w:t>（h）</w:t>
            </w:r>
          </w:p>
        </w:tc>
        <w:tc>
          <w:tcPr>
            <w:tcW w:w="1793" w:type="dxa"/>
            <w:vAlign w:val="center"/>
          </w:tcPr>
          <w:p w14:paraId="14B8E74F">
            <w:pPr>
              <w:pStyle w:val="60"/>
              <w:ind w:firstLine="0" w:firstLineChars="0"/>
              <w:jc w:val="center"/>
              <w:rPr>
                <w:sz w:val="18"/>
                <w:szCs w:val="18"/>
              </w:rPr>
            </w:pPr>
            <w:r>
              <w:rPr>
                <w:rFonts w:hint="eastAsia"/>
                <w:sz w:val="18"/>
                <w:szCs w:val="18"/>
              </w:rPr>
              <w:t>≤</w:t>
            </w:r>
            <w:bookmarkStart w:id="74" w:name="OLE_LINK7"/>
            <w:bookmarkStart w:id="75" w:name="OLE_LINK3"/>
            <w:r>
              <w:rPr>
                <w:rFonts w:hint="eastAsia"/>
                <w:sz w:val="18"/>
                <w:szCs w:val="18"/>
              </w:rPr>
              <w:t>H</w:t>
            </w:r>
            <w:r>
              <w:rPr>
                <w:sz w:val="18"/>
                <w:szCs w:val="18"/>
              </w:rPr>
              <w:t>/3</w:t>
            </w:r>
            <w:bookmarkEnd w:id="74"/>
            <w:bookmarkEnd w:id="75"/>
          </w:p>
        </w:tc>
        <w:tc>
          <w:tcPr>
            <w:tcW w:w="2974" w:type="dxa"/>
            <w:vAlign w:val="center"/>
          </w:tcPr>
          <w:p w14:paraId="2C87C154">
            <w:pPr>
              <w:pStyle w:val="60"/>
              <w:ind w:firstLine="0" w:firstLineChars="0"/>
              <w:jc w:val="center"/>
              <w:rPr>
                <w:sz w:val="18"/>
                <w:szCs w:val="18"/>
              </w:rPr>
            </w:pPr>
            <w:r>
              <w:rPr>
                <w:rFonts w:hint="eastAsia"/>
                <w:sz w:val="18"/>
                <w:szCs w:val="18"/>
              </w:rPr>
              <w:t>1</w:t>
            </w:r>
            <w:r>
              <w:rPr>
                <w:sz w:val="18"/>
                <w:szCs w:val="18"/>
              </w:rPr>
              <w:t>次</w:t>
            </w:r>
            <w:r>
              <w:rPr>
                <w:rFonts w:hint="eastAsia"/>
                <w:sz w:val="18"/>
                <w:szCs w:val="18"/>
              </w:rPr>
              <w:t>/</w:t>
            </w:r>
            <w:r>
              <w:rPr>
                <w:sz w:val="18"/>
                <w:szCs w:val="18"/>
              </w:rPr>
              <w:t>(2</w:t>
            </w:r>
            <w:r>
              <w:rPr>
                <w:rFonts w:hint="eastAsia"/>
                <w:sz w:val="18"/>
                <w:szCs w:val="18"/>
              </w:rPr>
              <w:t>～</w:t>
            </w:r>
            <w:r>
              <w:rPr>
                <w:sz w:val="18"/>
                <w:szCs w:val="18"/>
              </w:rPr>
              <w:t>3)</w:t>
            </w:r>
            <w:r>
              <w:rPr>
                <w:rFonts w:hint="eastAsia"/>
                <w:sz w:val="18"/>
                <w:szCs w:val="18"/>
              </w:rPr>
              <w:t>d</w:t>
            </w:r>
          </w:p>
        </w:tc>
      </w:tr>
      <w:tr w14:paraId="5C19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continue"/>
            <w:vAlign w:val="center"/>
          </w:tcPr>
          <w:p w14:paraId="78F8D6D9">
            <w:pPr>
              <w:pStyle w:val="60"/>
              <w:ind w:firstLine="0" w:firstLineChars="0"/>
              <w:jc w:val="center"/>
              <w:rPr>
                <w:sz w:val="18"/>
                <w:szCs w:val="18"/>
              </w:rPr>
            </w:pPr>
          </w:p>
        </w:tc>
        <w:tc>
          <w:tcPr>
            <w:tcW w:w="1793" w:type="dxa"/>
            <w:vAlign w:val="center"/>
          </w:tcPr>
          <w:p w14:paraId="7D6792CA">
            <w:pPr>
              <w:pStyle w:val="60"/>
              <w:ind w:firstLine="0" w:firstLineChars="0"/>
              <w:jc w:val="center"/>
              <w:rPr>
                <w:sz w:val="18"/>
                <w:szCs w:val="18"/>
              </w:rPr>
            </w:pPr>
            <w:r>
              <w:rPr>
                <w:rFonts w:hint="eastAsia"/>
                <w:sz w:val="18"/>
                <w:szCs w:val="18"/>
              </w:rPr>
              <w:t>H</w:t>
            </w:r>
            <w:r>
              <w:rPr>
                <w:sz w:val="18"/>
                <w:szCs w:val="18"/>
              </w:rPr>
              <w:t>/3</w:t>
            </w:r>
            <w:r>
              <w:rPr>
                <w:rFonts w:hint="eastAsia"/>
                <w:sz w:val="18"/>
                <w:szCs w:val="18"/>
              </w:rPr>
              <w:t>～</w:t>
            </w:r>
            <w:r>
              <w:rPr>
                <w:sz w:val="18"/>
                <w:szCs w:val="18"/>
              </w:rPr>
              <w:t>2</w:t>
            </w:r>
            <w:r>
              <w:rPr>
                <w:rFonts w:hint="eastAsia"/>
                <w:sz w:val="18"/>
                <w:szCs w:val="18"/>
              </w:rPr>
              <w:t>H</w:t>
            </w:r>
            <w:r>
              <w:rPr>
                <w:sz w:val="18"/>
                <w:szCs w:val="18"/>
              </w:rPr>
              <w:t>/3</w:t>
            </w:r>
          </w:p>
        </w:tc>
        <w:tc>
          <w:tcPr>
            <w:tcW w:w="2974" w:type="dxa"/>
            <w:vAlign w:val="center"/>
          </w:tcPr>
          <w:p w14:paraId="63770AA8">
            <w:pPr>
              <w:pStyle w:val="60"/>
              <w:ind w:firstLine="0" w:firstLineChars="0"/>
              <w:jc w:val="center"/>
              <w:rPr>
                <w:sz w:val="18"/>
                <w:szCs w:val="18"/>
              </w:rPr>
            </w:pPr>
            <w:r>
              <w:rPr>
                <w:rFonts w:hint="eastAsia"/>
                <w:sz w:val="18"/>
                <w:szCs w:val="18"/>
              </w:rPr>
              <w:t>1</w:t>
            </w:r>
            <w:r>
              <w:rPr>
                <w:sz w:val="18"/>
                <w:szCs w:val="18"/>
              </w:rPr>
              <w:t>次</w:t>
            </w:r>
            <w:r>
              <w:rPr>
                <w:rFonts w:hint="eastAsia"/>
                <w:sz w:val="18"/>
                <w:szCs w:val="18"/>
              </w:rPr>
              <w:t>/</w:t>
            </w:r>
            <w:bookmarkStart w:id="76" w:name="OLE_LINK9"/>
            <w:bookmarkStart w:id="77" w:name="OLE_LINK8"/>
            <w:r>
              <w:rPr>
                <w:sz w:val="18"/>
                <w:szCs w:val="18"/>
              </w:rPr>
              <w:t>(1</w:t>
            </w:r>
            <w:r>
              <w:rPr>
                <w:rFonts w:hint="eastAsia"/>
                <w:sz w:val="18"/>
                <w:szCs w:val="18"/>
              </w:rPr>
              <w:t>～</w:t>
            </w:r>
            <w:r>
              <w:rPr>
                <w:sz w:val="18"/>
                <w:szCs w:val="18"/>
              </w:rPr>
              <w:t>2)</w:t>
            </w:r>
            <w:bookmarkEnd w:id="76"/>
            <w:bookmarkEnd w:id="77"/>
            <w:r>
              <w:rPr>
                <w:rFonts w:hint="eastAsia"/>
                <w:sz w:val="18"/>
                <w:szCs w:val="18"/>
              </w:rPr>
              <w:t>d</w:t>
            </w:r>
          </w:p>
        </w:tc>
      </w:tr>
      <w:tr w14:paraId="2B790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continue"/>
            <w:vAlign w:val="center"/>
          </w:tcPr>
          <w:p w14:paraId="63E7B3FC">
            <w:pPr>
              <w:pStyle w:val="60"/>
              <w:ind w:firstLine="0" w:firstLineChars="0"/>
              <w:jc w:val="center"/>
              <w:rPr>
                <w:sz w:val="18"/>
                <w:szCs w:val="18"/>
              </w:rPr>
            </w:pPr>
          </w:p>
        </w:tc>
        <w:tc>
          <w:tcPr>
            <w:tcW w:w="1793" w:type="dxa"/>
            <w:vAlign w:val="center"/>
          </w:tcPr>
          <w:p w14:paraId="3D78B9A3">
            <w:pPr>
              <w:pStyle w:val="60"/>
              <w:ind w:firstLine="0" w:firstLineChars="0"/>
              <w:jc w:val="center"/>
              <w:rPr>
                <w:sz w:val="18"/>
                <w:szCs w:val="18"/>
              </w:rPr>
            </w:pPr>
            <w:r>
              <w:rPr>
                <w:sz w:val="18"/>
                <w:szCs w:val="18"/>
              </w:rPr>
              <w:t>2</w:t>
            </w:r>
            <w:r>
              <w:rPr>
                <w:rFonts w:hint="eastAsia"/>
                <w:sz w:val="18"/>
                <w:szCs w:val="18"/>
              </w:rPr>
              <w:t>H</w:t>
            </w:r>
            <w:r>
              <w:rPr>
                <w:sz w:val="18"/>
                <w:szCs w:val="18"/>
              </w:rPr>
              <w:t>/3</w:t>
            </w:r>
            <w:r>
              <w:rPr>
                <w:rFonts w:hint="eastAsia"/>
                <w:sz w:val="18"/>
                <w:szCs w:val="18"/>
              </w:rPr>
              <w:t>～H</w:t>
            </w:r>
          </w:p>
        </w:tc>
        <w:tc>
          <w:tcPr>
            <w:tcW w:w="2974" w:type="dxa"/>
            <w:vAlign w:val="center"/>
          </w:tcPr>
          <w:p w14:paraId="3B535CCF">
            <w:pPr>
              <w:pStyle w:val="60"/>
              <w:ind w:firstLine="0" w:firstLineChars="0"/>
              <w:jc w:val="center"/>
              <w:rPr>
                <w:sz w:val="18"/>
                <w:szCs w:val="18"/>
              </w:rPr>
            </w:pPr>
            <w:r>
              <w:rPr>
                <w:sz w:val="18"/>
                <w:szCs w:val="18"/>
              </w:rPr>
              <w:t>(1</w:t>
            </w:r>
            <w:r>
              <w:rPr>
                <w:rFonts w:hint="eastAsia"/>
                <w:sz w:val="18"/>
                <w:szCs w:val="18"/>
              </w:rPr>
              <w:t>～</w:t>
            </w:r>
            <w:r>
              <w:rPr>
                <w:sz w:val="18"/>
                <w:szCs w:val="18"/>
              </w:rPr>
              <w:t>2)次</w:t>
            </w:r>
            <w:r>
              <w:rPr>
                <w:rFonts w:hint="eastAsia"/>
                <w:sz w:val="18"/>
                <w:szCs w:val="18"/>
              </w:rPr>
              <w:t>/</w:t>
            </w:r>
            <w:r>
              <w:rPr>
                <w:sz w:val="18"/>
                <w:szCs w:val="18"/>
              </w:rPr>
              <w:t>d</w:t>
            </w:r>
          </w:p>
        </w:tc>
      </w:tr>
      <w:tr w14:paraId="7B2BF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restart"/>
            <w:vAlign w:val="center"/>
          </w:tcPr>
          <w:p w14:paraId="3A3D07EC">
            <w:pPr>
              <w:pStyle w:val="60"/>
              <w:ind w:firstLine="0" w:firstLineChars="0"/>
              <w:jc w:val="center"/>
              <w:rPr>
                <w:sz w:val="18"/>
                <w:szCs w:val="18"/>
              </w:rPr>
            </w:pPr>
            <w:r>
              <w:rPr>
                <w:rFonts w:hint="eastAsia"/>
                <w:sz w:val="18"/>
                <w:szCs w:val="18"/>
              </w:rPr>
              <w:t>底板浇筑后时间（d）</w:t>
            </w:r>
          </w:p>
        </w:tc>
        <w:tc>
          <w:tcPr>
            <w:tcW w:w="1793" w:type="dxa"/>
            <w:vAlign w:val="center"/>
          </w:tcPr>
          <w:p w14:paraId="285BAD1A">
            <w:pPr>
              <w:pStyle w:val="60"/>
              <w:ind w:firstLine="0" w:firstLineChars="0"/>
              <w:jc w:val="center"/>
              <w:rPr>
                <w:sz w:val="18"/>
                <w:szCs w:val="18"/>
              </w:rPr>
            </w:pPr>
            <w:r>
              <w:rPr>
                <w:rFonts w:hint="eastAsia"/>
                <w:sz w:val="18"/>
                <w:szCs w:val="18"/>
              </w:rPr>
              <w:t>≤7</w:t>
            </w:r>
          </w:p>
        </w:tc>
        <w:tc>
          <w:tcPr>
            <w:tcW w:w="2974" w:type="dxa"/>
            <w:vAlign w:val="center"/>
          </w:tcPr>
          <w:p w14:paraId="439F53A0">
            <w:pPr>
              <w:pStyle w:val="60"/>
              <w:ind w:firstLine="0" w:firstLineChars="0"/>
              <w:jc w:val="center"/>
              <w:rPr>
                <w:sz w:val="18"/>
                <w:szCs w:val="18"/>
              </w:rPr>
            </w:pPr>
            <w:bookmarkStart w:id="78" w:name="OLE_LINK10"/>
            <w:r>
              <w:rPr>
                <w:rFonts w:hint="eastAsia"/>
                <w:sz w:val="18"/>
                <w:szCs w:val="18"/>
              </w:rPr>
              <w:t>1</w:t>
            </w:r>
            <w:r>
              <w:rPr>
                <w:sz w:val="18"/>
                <w:szCs w:val="18"/>
              </w:rPr>
              <w:t>次</w:t>
            </w:r>
            <w:r>
              <w:rPr>
                <w:rFonts w:hint="eastAsia"/>
                <w:sz w:val="18"/>
                <w:szCs w:val="18"/>
              </w:rPr>
              <w:t>/d</w:t>
            </w:r>
            <w:bookmarkEnd w:id="78"/>
          </w:p>
        </w:tc>
      </w:tr>
      <w:tr w14:paraId="179EA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continue"/>
            <w:vAlign w:val="center"/>
          </w:tcPr>
          <w:p w14:paraId="118FCA67">
            <w:pPr>
              <w:pStyle w:val="60"/>
              <w:ind w:firstLine="0" w:firstLineChars="0"/>
              <w:jc w:val="center"/>
              <w:rPr>
                <w:sz w:val="18"/>
                <w:szCs w:val="18"/>
              </w:rPr>
            </w:pPr>
          </w:p>
        </w:tc>
        <w:tc>
          <w:tcPr>
            <w:tcW w:w="1793" w:type="dxa"/>
            <w:vAlign w:val="center"/>
          </w:tcPr>
          <w:p w14:paraId="665451BC">
            <w:pPr>
              <w:pStyle w:val="60"/>
              <w:ind w:firstLine="0" w:firstLineChars="0"/>
              <w:jc w:val="center"/>
              <w:rPr>
                <w:sz w:val="18"/>
                <w:szCs w:val="18"/>
              </w:rPr>
            </w:pPr>
            <w:r>
              <w:rPr>
                <w:sz w:val="18"/>
                <w:szCs w:val="18"/>
              </w:rPr>
              <w:t>7</w:t>
            </w:r>
            <w:r>
              <w:rPr>
                <w:rFonts w:hint="eastAsia"/>
                <w:sz w:val="18"/>
                <w:szCs w:val="18"/>
              </w:rPr>
              <w:t>～</w:t>
            </w:r>
            <w:r>
              <w:rPr>
                <w:sz w:val="18"/>
                <w:szCs w:val="18"/>
              </w:rPr>
              <w:t>14</w:t>
            </w:r>
          </w:p>
        </w:tc>
        <w:tc>
          <w:tcPr>
            <w:tcW w:w="2974" w:type="dxa"/>
            <w:vAlign w:val="center"/>
          </w:tcPr>
          <w:p w14:paraId="592E0D04">
            <w:pPr>
              <w:pStyle w:val="60"/>
              <w:ind w:firstLine="0" w:firstLineChars="0"/>
              <w:jc w:val="center"/>
              <w:rPr>
                <w:sz w:val="18"/>
                <w:szCs w:val="18"/>
              </w:rPr>
            </w:pPr>
            <w:r>
              <w:rPr>
                <w:rFonts w:hint="eastAsia"/>
                <w:sz w:val="18"/>
                <w:szCs w:val="18"/>
              </w:rPr>
              <w:t>1</w:t>
            </w:r>
            <w:r>
              <w:rPr>
                <w:sz w:val="18"/>
                <w:szCs w:val="18"/>
              </w:rPr>
              <w:t>次</w:t>
            </w:r>
            <w:r>
              <w:rPr>
                <w:rFonts w:hint="eastAsia"/>
                <w:sz w:val="18"/>
                <w:szCs w:val="18"/>
              </w:rPr>
              <w:t>/</w:t>
            </w:r>
            <w:r>
              <w:rPr>
                <w:sz w:val="18"/>
                <w:szCs w:val="18"/>
              </w:rPr>
              <w:t>3</w:t>
            </w:r>
            <w:r>
              <w:rPr>
                <w:rFonts w:hint="eastAsia"/>
                <w:sz w:val="18"/>
                <w:szCs w:val="18"/>
              </w:rPr>
              <w:t>d</w:t>
            </w:r>
          </w:p>
        </w:tc>
      </w:tr>
      <w:tr w14:paraId="2D80A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continue"/>
            <w:vAlign w:val="center"/>
          </w:tcPr>
          <w:p w14:paraId="1888DF45">
            <w:pPr>
              <w:pStyle w:val="60"/>
              <w:ind w:firstLine="0" w:firstLineChars="0"/>
              <w:jc w:val="center"/>
              <w:rPr>
                <w:sz w:val="18"/>
                <w:szCs w:val="18"/>
              </w:rPr>
            </w:pPr>
          </w:p>
        </w:tc>
        <w:tc>
          <w:tcPr>
            <w:tcW w:w="1793" w:type="dxa"/>
            <w:vAlign w:val="center"/>
          </w:tcPr>
          <w:p w14:paraId="4C9F25FB">
            <w:pPr>
              <w:pStyle w:val="60"/>
              <w:ind w:firstLine="0" w:firstLineChars="0"/>
              <w:jc w:val="center"/>
              <w:rPr>
                <w:sz w:val="18"/>
                <w:szCs w:val="18"/>
              </w:rPr>
            </w:pPr>
            <w:r>
              <w:rPr>
                <w:sz w:val="18"/>
                <w:szCs w:val="18"/>
              </w:rPr>
              <w:t>14</w:t>
            </w:r>
            <w:r>
              <w:rPr>
                <w:rFonts w:hint="eastAsia"/>
                <w:sz w:val="18"/>
                <w:szCs w:val="18"/>
              </w:rPr>
              <w:t>～</w:t>
            </w:r>
            <w:r>
              <w:rPr>
                <w:sz w:val="18"/>
                <w:szCs w:val="18"/>
              </w:rPr>
              <w:t>28</w:t>
            </w:r>
          </w:p>
        </w:tc>
        <w:tc>
          <w:tcPr>
            <w:tcW w:w="2974" w:type="dxa"/>
            <w:vAlign w:val="center"/>
          </w:tcPr>
          <w:p w14:paraId="701E959F">
            <w:pPr>
              <w:pStyle w:val="60"/>
              <w:ind w:firstLine="0" w:firstLineChars="0"/>
              <w:jc w:val="center"/>
              <w:rPr>
                <w:sz w:val="18"/>
                <w:szCs w:val="18"/>
              </w:rPr>
            </w:pPr>
            <w:r>
              <w:rPr>
                <w:rFonts w:hint="eastAsia"/>
                <w:sz w:val="18"/>
                <w:szCs w:val="18"/>
              </w:rPr>
              <w:t>1</w:t>
            </w:r>
            <w:r>
              <w:rPr>
                <w:sz w:val="18"/>
                <w:szCs w:val="18"/>
              </w:rPr>
              <w:t>次</w:t>
            </w:r>
            <w:r>
              <w:rPr>
                <w:rFonts w:hint="eastAsia"/>
                <w:sz w:val="18"/>
                <w:szCs w:val="18"/>
              </w:rPr>
              <w:t>/</w:t>
            </w:r>
            <w:r>
              <w:rPr>
                <w:sz w:val="18"/>
                <w:szCs w:val="18"/>
              </w:rPr>
              <w:t>5</w:t>
            </w:r>
            <w:r>
              <w:rPr>
                <w:rFonts w:hint="eastAsia"/>
                <w:sz w:val="18"/>
                <w:szCs w:val="18"/>
              </w:rPr>
              <w:t>d</w:t>
            </w:r>
          </w:p>
        </w:tc>
      </w:tr>
      <w:tr w14:paraId="07364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74" w:type="dxa"/>
            <w:vMerge w:val="continue"/>
            <w:vAlign w:val="center"/>
          </w:tcPr>
          <w:p w14:paraId="2F7E3932">
            <w:pPr>
              <w:pStyle w:val="60"/>
              <w:ind w:firstLine="0" w:firstLineChars="0"/>
              <w:jc w:val="center"/>
              <w:rPr>
                <w:sz w:val="18"/>
                <w:szCs w:val="18"/>
              </w:rPr>
            </w:pPr>
          </w:p>
        </w:tc>
        <w:tc>
          <w:tcPr>
            <w:tcW w:w="1793" w:type="dxa"/>
            <w:vAlign w:val="center"/>
          </w:tcPr>
          <w:p w14:paraId="4779D590">
            <w:pPr>
              <w:pStyle w:val="60"/>
              <w:ind w:firstLine="0" w:firstLineChars="0"/>
              <w:jc w:val="center"/>
              <w:rPr>
                <w:sz w:val="18"/>
                <w:szCs w:val="18"/>
              </w:rPr>
            </w:pPr>
            <w:r>
              <w:rPr>
                <w:sz w:val="18"/>
                <w:szCs w:val="18"/>
              </w:rPr>
              <w:t>＞28</w:t>
            </w:r>
          </w:p>
        </w:tc>
        <w:tc>
          <w:tcPr>
            <w:tcW w:w="2974" w:type="dxa"/>
            <w:vAlign w:val="center"/>
          </w:tcPr>
          <w:p w14:paraId="43BD0A74">
            <w:pPr>
              <w:pStyle w:val="60"/>
              <w:ind w:firstLine="0" w:firstLineChars="0"/>
              <w:jc w:val="center"/>
              <w:rPr>
                <w:sz w:val="18"/>
                <w:szCs w:val="18"/>
              </w:rPr>
            </w:pPr>
            <w:r>
              <w:rPr>
                <w:rFonts w:hint="eastAsia"/>
                <w:sz w:val="18"/>
                <w:szCs w:val="18"/>
              </w:rPr>
              <w:t>1</w:t>
            </w:r>
            <w:r>
              <w:rPr>
                <w:sz w:val="18"/>
                <w:szCs w:val="18"/>
              </w:rPr>
              <w:t>次</w:t>
            </w:r>
            <w:r>
              <w:rPr>
                <w:rFonts w:hint="eastAsia"/>
                <w:sz w:val="18"/>
                <w:szCs w:val="18"/>
              </w:rPr>
              <w:t>/</w:t>
            </w:r>
            <w:r>
              <w:rPr>
                <w:sz w:val="18"/>
                <w:szCs w:val="18"/>
              </w:rPr>
              <w:t>7</w:t>
            </w:r>
            <w:r>
              <w:rPr>
                <w:rFonts w:hint="eastAsia"/>
                <w:sz w:val="18"/>
                <w:szCs w:val="18"/>
              </w:rPr>
              <w:t>d</w:t>
            </w:r>
          </w:p>
        </w:tc>
      </w:tr>
      <w:tr w14:paraId="5C04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1" w:type="dxa"/>
            <w:gridSpan w:val="3"/>
            <w:vAlign w:val="center"/>
          </w:tcPr>
          <w:p w14:paraId="42244E75">
            <w:pPr>
              <w:pStyle w:val="60"/>
              <w:ind w:firstLine="0" w:firstLineChars="0"/>
              <w:jc w:val="left"/>
              <w:rPr>
                <w:sz w:val="18"/>
                <w:szCs w:val="18"/>
              </w:rPr>
            </w:pPr>
            <w:r>
              <w:rPr>
                <w:rFonts w:hint="eastAsia"/>
                <w:sz w:val="18"/>
                <w:szCs w:val="18"/>
              </w:rPr>
              <w:t>注： h—基坑开挖深度，单位m；H—基坑设计深度，单位m。</w:t>
            </w:r>
          </w:p>
        </w:tc>
      </w:tr>
    </w:tbl>
    <w:p w14:paraId="6F6F701F">
      <w:pPr>
        <w:pStyle w:val="69"/>
        <w:spacing w:before="120" w:after="120"/>
        <w:ind w:left="0"/>
        <w:rPr>
          <w:rFonts w:ascii="宋体" w:hAnsi="宋体" w:eastAsia="宋体"/>
        </w:rPr>
      </w:pPr>
      <w:r>
        <w:rPr>
          <w:rFonts w:hint="eastAsia" w:ascii="宋体" w:hAnsi="宋体" w:eastAsia="宋体"/>
        </w:rPr>
        <w:t>采用自动化监测的项目应定期进行比对测量。比对测量可采用人工监测或不同设备进行校核验证。</w:t>
      </w:r>
    </w:p>
    <w:p w14:paraId="1118032A">
      <w:pPr>
        <w:pStyle w:val="69"/>
        <w:spacing w:before="120" w:after="120"/>
        <w:ind w:left="0"/>
        <w:rPr>
          <w:rFonts w:ascii="宋体" w:hAnsi="宋体" w:eastAsia="宋体"/>
        </w:rPr>
      </w:pPr>
      <w:r>
        <w:rPr>
          <w:rFonts w:hint="eastAsia" w:ascii="宋体" w:hAnsi="宋体" w:eastAsia="宋体"/>
        </w:rPr>
        <w:t>当出现下列情况之一时，应提高监测频率：</w:t>
      </w:r>
    </w:p>
    <w:p w14:paraId="5A378937">
      <w:pPr>
        <w:numPr>
          <w:ilvl w:val="0"/>
          <w:numId w:val="42"/>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监测值达到预警值；</w:t>
      </w:r>
    </w:p>
    <w:p w14:paraId="5A62C42C">
      <w:pPr>
        <w:numPr>
          <w:ilvl w:val="0"/>
          <w:numId w:val="42"/>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监测值变化较大或者速度加快；</w:t>
      </w:r>
    </w:p>
    <w:p w14:paraId="6DED5C0E">
      <w:pPr>
        <w:numPr>
          <w:ilvl w:val="0"/>
          <w:numId w:val="42"/>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基坑及周边大量积水、长时间连续降雨、管线出现泄漏；</w:t>
      </w:r>
    </w:p>
    <w:p w14:paraId="6D3E572E">
      <w:pPr>
        <w:numPr>
          <w:ilvl w:val="0"/>
          <w:numId w:val="42"/>
        </w:numPr>
        <w:adjustRightInd/>
        <w:spacing w:before="120" w:beforeLines="50" w:after="120" w:afterLines="50"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基坑附近地面荷载超过设计限值或周边地面突发较大沉降或出现严重开裂。</w:t>
      </w:r>
    </w:p>
    <w:p w14:paraId="1169A1A7">
      <w:pPr>
        <w:pStyle w:val="69"/>
        <w:spacing w:before="120" w:after="120"/>
        <w:ind w:left="0"/>
        <w:rPr>
          <w:rFonts w:ascii="宋体" w:hAnsi="宋体" w:eastAsia="宋体"/>
        </w:rPr>
      </w:pPr>
      <w:r>
        <w:rPr>
          <w:rFonts w:hint="eastAsia" w:ascii="宋体" w:hAnsi="宋体" w:eastAsia="宋体"/>
        </w:rPr>
        <w:t>监测工作应从基坑工程施工前开始观测，直至基坑回填土完成为止，自动化监测初始值应在相关施工工序之前测定，应在自动化监测系统经过调试且运行稳定后进行，同时应采集对比测量数据，采集次数不宜少于3次。</w:t>
      </w:r>
    </w:p>
    <w:p w14:paraId="72925411">
      <w:pPr>
        <w:pStyle w:val="69"/>
        <w:spacing w:before="120" w:after="120"/>
        <w:ind w:left="0"/>
        <w:rPr>
          <w:rFonts w:ascii="宋体" w:hAnsi="宋体" w:eastAsia="宋体"/>
        </w:rPr>
      </w:pPr>
      <w:r>
        <w:rPr>
          <w:rFonts w:hint="eastAsia" w:ascii="宋体" w:hAnsi="宋体" w:eastAsia="宋体"/>
        </w:rPr>
        <w:t>基坑巡视检查宜包括支护结构状况、施工状况、周边环境、监测设施等内容。遇到暴雨、冻土解冻期、地震等自然突发情况时应进行专项巡视检查，并根据现状情况，增加巡查次数。动态巡视检查可采用视频巡视检查和无人机巡视检查等方式。</w:t>
      </w:r>
    </w:p>
    <w:p w14:paraId="5569576D">
      <w:pPr>
        <w:pStyle w:val="69"/>
        <w:spacing w:before="120" w:after="120"/>
        <w:ind w:left="0"/>
        <w:rPr>
          <w:rFonts w:ascii="宋体" w:hAnsi="宋体" w:eastAsia="宋体"/>
        </w:rPr>
      </w:pPr>
      <w:r>
        <w:rPr>
          <w:rFonts w:hint="eastAsia" w:ascii="宋体" w:hAnsi="宋体" w:eastAsia="宋体"/>
        </w:rPr>
        <w:t>基坑停工后重新开工时，应对监测基准网复测及基坑监测对象进行全面监测，必要时根据现状情况动态调整监测内容。</w:t>
      </w:r>
    </w:p>
    <w:p w14:paraId="20C6433E">
      <w:pPr>
        <w:pStyle w:val="69"/>
        <w:spacing w:before="120" w:after="120"/>
        <w:ind w:left="0"/>
        <w:rPr>
          <w:rFonts w:ascii="宋体" w:hAnsi="宋体" w:eastAsia="宋体"/>
        </w:rPr>
      </w:pPr>
      <w:r>
        <w:rPr>
          <w:rFonts w:hint="eastAsia" w:ascii="宋体" w:hAnsi="宋体" w:eastAsia="宋体"/>
        </w:rPr>
        <w:t>基坑监测预警值应包括监测项目的累计变化量和变化速率值两个预警指标。基坑监测预警值应满足基坑工程设计、地下主体结构设计以及周边环境中保护对象的控制要求,监测预警值应由基坑工程设计方确定。当无具体控制值要求且缺乏工程经验时，监测控制值应按表 1</w:t>
      </w:r>
      <w:r>
        <w:rPr>
          <w:rFonts w:ascii="宋体" w:hAnsi="宋体" w:eastAsia="宋体"/>
        </w:rPr>
        <w:t>5</w:t>
      </w:r>
      <w:r>
        <w:rPr>
          <w:rFonts w:hint="eastAsia" w:ascii="宋体" w:hAnsi="宋体" w:eastAsia="宋体"/>
        </w:rPr>
        <w:t>、表1</w:t>
      </w:r>
      <w:r>
        <w:rPr>
          <w:rFonts w:ascii="宋体" w:hAnsi="宋体" w:eastAsia="宋体"/>
        </w:rPr>
        <w:t>6</w:t>
      </w:r>
      <w:r>
        <w:rPr>
          <w:rFonts w:hint="eastAsia" w:ascii="宋体" w:hAnsi="宋体" w:eastAsia="宋体"/>
        </w:rPr>
        <w:t xml:space="preserve"> 确定，并与设计计算结果匹配。</w:t>
      </w:r>
    </w:p>
    <w:p w14:paraId="476EF54F">
      <w:pPr>
        <w:spacing w:before="120" w:beforeLines="50" w:after="120" w:afterLines="50"/>
        <w:jc w:val="center"/>
        <w:rPr>
          <w:rFonts w:ascii="黑体" w:hAnsi="黑体" w:eastAsia="黑体"/>
          <w:bCs/>
          <w:color w:val="000000" w:themeColor="text1"/>
          <w14:textFill>
            <w14:solidFill>
              <w14:schemeClr w14:val="tx1"/>
            </w14:solidFill>
          </w14:textFill>
        </w:rPr>
      </w:pPr>
      <w:r>
        <w:rPr>
          <w:rFonts w:ascii="黑体" w:hAnsi="黑体" w:eastAsia="黑体"/>
          <w:bCs/>
          <w:color w:val="000000" w:themeColor="text1"/>
          <w14:textFill>
            <w14:solidFill>
              <w14:schemeClr w14:val="tx1"/>
            </w14:solidFill>
          </w14:textFill>
        </w:rPr>
        <w:t>表</w:t>
      </w:r>
      <w:r>
        <w:rPr>
          <w:rFonts w:hint="eastAsia" w:ascii="黑体" w:hAnsi="黑体" w:eastAsia="黑体"/>
          <w:bCs/>
          <w:color w:val="000000" w:themeColor="text1"/>
          <w14:textFill>
            <w14:solidFill>
              <w14:schemeClr w14:val="tx1"/>
            </w14:solidFill>
          </w14:textFill>
        </w:rPr>
        <w:t>1</w:t>
      </w:r>
      <w:r>
        <w:rPr>
          <w:rFonts w:ascii="黑体" w:hAnsi="黑体" w:eastAsia="黑体"/>
          <w:bCs/>
          <w:color w:val="000000" w:themeColor="text1"/>
          <w14:textFill>
            <w14:solidFill>
              <w14:schemeClr w14:val="tx1"/>
            </w14:solidFill>
          </w14:textFill>
        </w:rPr>
        <w:t>5 基坑及支护结构位移、轴力监测控制值</w:t>
      </w:r>
    </w:p>
    <w:tbl>
      <w:tblPr>
        <w:tblStyle w:val="29"/>
        <w:tblW w:w="45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2227"/>
        <w:gridCol w:w="1634"/>
        <w:gridCol w:w="1188"/>
        <w:gridCol w:w="396"/>
        <w:gridCol w:w="1533"/>
        <w:gridCol w:w="1634"/>
      </w:tblGrid>
      <w:tr w14:paraId="02C87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restart"/>
            <w:tcBorders>
              <w:top w:val="single" w:color="auto" w:sz="4" w:space="0"/>
              <w:left w:val="single" w:color="auto" w:sz="4" w:space="0"/>
              <w:bottom w:val="single" w:color="auto" w:sz="4" w:space="0"/>
              <w:right w:val="single" w:color="auto" w:sz="4" w:space="0"/>
            </w:tcBorders>
            <w:vAlign w:val="center"/>
          </w:tcPr>
          <w:p w14:paraId="4526506D">
            <w:pPr>
              <w:pStyle w:val="60"/>
              <w:ind w:firstLine="0" w:firstLineChars="0"/>
              <w:jc w:val="center"/>
              <w:rPr>
                <w:sz w:val="18"/>
                <w:szCs w:val="18"/>
              </w:rPr>
            </w:pPr>
            <w:r>
              <w:rPr>
                <w:rFonts w:hint="eastAsia"/>
                <w:bCs/>
                <w:sz w:val="18"/>
                <w:szCs w:val="18"/>
              </w:rPr>
              <w:t>监测项目</w:t>
            </w:r>
          </w:p>
        </w:tc>
        <w:tc>
          <w:tcPr>
            <w:tcW w:w="1596" w:type="dxa"/>
            <w:vMerge w:val="restart"/>
            <w:tcBorders>
              <w:top w:val="single" w:color="auto" w:sz="4" w:space="0"/>
              <w:left w:val="single" w:color="auto" w:sz="4" w:space="0"/>
              <w:bottom w:val="single" w:color="auto" w:sz="4" w:space="0"/>
              <w:right w:val="single" w:color="auto" w:sz="4" w:space="0"/>
            </w:tcBorders>
            <w:vAlign w:val="center"/>
          </w:tcPr>
          <w:p w14:paraId="3873BA0D">
            <w:pPr>
              <w:pStyle w:val="60"/>
              <w:ind w:firstLine="0" w:firstLineChars="0"/>
              <w:jc w:val="center"/>
              <w:rPr>
                <w:sz w:val="18"/>
                <w:szCs w:val="18"/>
              </w:rPr>
            </w:pPr>
            <w:r>
              <w:rPr>
                <w:rFonts w:hint="eastAsia"/>
                <w:bCs/>
                <w:sz w:val="18"/>
                <w:szCs w:val="18"/>
              </w:rPr>
              <w:t>支护结构类型</w:t>
            </w:r>
          </w:p>
        </w:tc>
        <w:tc>
          <w:tcPr>
            <w:tcW w:w="4640" w:type="dxa"/>
            <w:gridSpan w:val="4"/>
            <w:tcBorders>
              <w:top w:val="single" w:color="auto" w:sz="4" w:space="0"/>
              <w:left w:val="single" w:color="auto" w:sz="4" w:space="0"/>
              <w:bottom w:val="single" w:color="auto" w:sz="4" w:space="0"/>
              <w:right w:val="single" w:color="auto" w:sz="4" w:space="0"/>
            </w:tcBorders>
            <w:vAlign w:val="center"/>
          </w:tcPr>
          <w:p w14:paraId="281B05BE">
            <w:pPr>
              <w:pStyle w:val="60"/>
              <w:ind w:firstLine="0" w:firstLineChars="0"/>
              <w:jc w:val="center"/>
              <w:rPr>
                <w:sz w:val="18"/>
                <w:szCs w:val="18"/>
              </w:rPr>
            </w:pPr>
            <w:r>
              <w:rPr>
                <w:rFonts w:hint="eastAsia"/>
                <w:bCs/>
                <w:sz w:val="18"/>
                <w:szCs w:val="18"/>
              </w:rPr>
              <w:t>基坑侧壁安全等级</w:t>
            </w:r>
          </w:p>
        </w:tc>
      </w:tr>
      <w:tr w14:paraId="521022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continue"/>
            <w:tcBorders>
              <w:top w:val="single" w:color="auto" w:sz="4" w:space="0"/>
              <w:left w:val="single" w:color="auto" w:sz="4" w:space="0"/>
              <w:bottom w:val="single" w:color="auto" w:sz="4" w:space="0"/>
              <w:right w:val="single" w:color="auto" w:sz="4" w:space="0"/>
            </w:tcBorders>
            <w:vAlign w:val="center"/>
          </w:tcPr>
          <w:p w14:paraId="619AE1D4">
            <w:pPr>
              <w:pStyle w:val="60"/>
              <w:ind w:firstLine="0" w:firstLineChars="0"/>
              <w:rPr>
                <w:sz w:val="18"/>
                <w:szCs w:val="18"/>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14:paraId="6CBF2E09">
            <w:pPr>
              <w:pStyle w:val="60"/>
              <w:ind w:firstLine="0" w:firstLineChars="0"/>
              <w:rPr>
                <w:sz w:val="18"/>
                <w:szCs w:val="18"/>
              </w:rPr>
            </w:pPr>
          </w:p>
        </w:tc>
        <w:tc>
          <w:tcPr>
            <w:tcW w:w="4640" w:type="dxa"/>
            <w:gridSpan w:val="4"/>
            <w:tcBorders>
              <w:top w:val="single" w:color="auto" w:sz="4" w:space="0"/>
              <w:left w:val="single" w:color="auto" w:sz="4" w:space="0"/>
              <w:bottom w:val="single" w:color="auto" w:sz="4" w:space="0"/>
              <w:right w:val="single" w:color="auto" w:sz="4" w:space="0"/>
            </w:tcBorders>
            <w:vAlign w:val="center"/>
          </w:tcPr>
          <w:p w14:paraId="7E23C965">
            <w:pPr>
              <w:pStyle w:val="60"/>
              <w:ind w:firstLine="0" w:firstLineChars="0"/>
              <w:jc w:val="center"/>
              <w:rPr>
                <w:sz w:val="18"/>
                <w:szCs w:val="18"/>
              </w:rPr>
            </w:pPr>
            <w:r>
              <w:rPr>
                <w:rFonts w:hint="eastAsia"/>
                <w:bCs/>
                <w:sz w:val="18"/>
                <w:szCs w:val="18"/>
              </w:rPr>
              <w:t>一级</w:t>
            </w:r>
          </w:p>
        </w:tc>
      </w:tr>
      <w:tr w14:paraId="50F1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continue"/>
            <w:tcBorders>
              <w:top w:val="single" w:color="auto" w:sz="4" w:space="0"/>
              <w:left w:val="single" w:color="auto" w:sz="4" w:space="0"/>
              <w:bottom w:val="single" w:color="auto" w:sz="4" w:space="0"/>
              <w:right w:val="single" w:color="auto" w:sz="4" w:space="0"/>
            </w:tcBorders>
            <w:vAlign w:val="center"/>
          </w:tcPr>
          <w:p w14:paraId="0FCEC246">
            <w:pPr>
              <w:pStyle w:val="60"/>
              <w:ind w:firstLine="0" w:firstLineChars="0"/>
              <w:rPr>
                <w:sz w:val="18"/>
                <w:szCs w:val="18"/>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14:paraId="3841DED8">
            <w:pPr>
              <w:pStyle w:val="60"/>
              <w:ind w:firstLine="0" w:firstLineChars="0"/>
              <w:rPr>
                <w:sz w:val="18"/>
                <w:szCs w:val="18"/>
              </w:rPr>
            </w:pPr>
          </w:p>
        </w:tc>
        <w:tc>
          <w:tcPr>
            <w:tcW w:w="3044" w:type="dxa"/>
            <w:gridSpan w:val="3"/>
            <w:tcBorders>
              <w:top w:val="single" w:color="auto" w:sz="4" w:space="0"/>
              <w:left w:val="single" w:color="auto" w:sz="4" w:space="0"/>
              <w:bottom w:val="single" w:color="auto" w:sz="4" w:space="0"/>
              <w:right w:val="single" w:color="auto" w:sz="4" w:space="0"/>
            </w:tcBorders>
            <w:vAlign w:val="center"/>
          </w:tcPr>
          <w:p w14:paraId="45A2174F">
            <w:pPr>
              <w:pStyle w:val="60"/>
              <w:ind w:firstLine="0" w:firstLineChars="0"/>
              <w:jc w:val="center"/>
              <w:rPr>
                <w:sz w:val="18"/>
                <w:szCs w:val="18"/>
              </w:rPr>
            </w:pPr>
            <w:r>
              <w:rPr>
                <w:rFonts w:hint="eastAsia"/>
                <w:bCs/>
                <w:sz w:val="18"/>
                <w:szCs w:val="18"/>
              </w:rPr>
              <w:t>累计值</w:t>
            </w:r>
          </w:p>
        </w:tc>
        <w:tc>
          <w:tcPr>
            <w:tcW w:w="1596" w:type="dxa"/>
            <w:vMerge w:val="restart"/>
            <w:tcBorders>
              <w:top w:val="single" w:color="auto" w:sz="4" w:space="0"/>
              <w:left w:val="single" w:color="auto" w:sz="4" w:space="0"/>
              <w:bottom w:val="single" w:color="auto" w:sz="4" w:space="0"/>
              <w:right w:val="single" w:color="auto" w:sz="4" w:space="0"/>
            </w:tcBorders>
            <w:vAlign w:val="center"/>
          </w:tcPr>
          <w:p w14:paraId="284B5AB7">
            <w:pPr>
              <w:pStyle w:val="60"/>
              <w:ind w:firstLine="0" w:firstLineChars="0"/>
              <w:jc w:val="center"/>
              <w:rPr>
                <w:sz w:val="18"/>
                <w:szCs w:val="18"/>
              </w:rPr>
            </w:pPr>
            <w:r>
              <w:rPr>
                <w:rFonts w:hint="eastAsia"/>
                <w:bCs/>
                <w:sz w:val="18"/>
                <w:szCs w:val="18"/>
              </w:rPr>
              <w:t>变化速率</w:t>
            </w:r>
          </w:p>
        </w:tc>
      </w:tr>
      <w:tr w14:paraId="342E8D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continue"/>
            <w:tcBorders>
              <w:top w:val="single" w:color="auto" w:sz="4" w:space="0"/>
              <w:left w:val="single" w:color="auto" w:sz="4" w:space="0"/>
              <w:bottom w:val="single" w:color="auto" w:sz="4" w:space="0"/>
              <w:right w:val="single" w:color="auto" w:sz="4" w:space="0"/>
            </w:tcBorders>
            <w:vAlign w:val="center"/>
          </w:tcPr>
          <w:p w14:paraId="2D588012">
            <w:pPr>
              <w:pStyle w:val="60"/>
              <w:ind w:firstLine="0" w:firstLineChars="0"/>
              <w:rPr>
                <w:sz w:val="18"/>
                <w:szCs w:val="18"/>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14:paraId="63FA7061">
            <w:pPr>
              <w:pStyle w:val="60"/>
              <w:ind w:firstLine="0" w:firstLineChars="0"/>
              <w:rPr>
                <w:sz w:val="18"/>
                <w:szCs w:val="18"/>
              </w:rPr>
            </w:pPr>
          </w:p>
        </w:tc>
        <w:tc>
          <w:tcPr>
            <w:tcW w:w="1160" w:type="dxa"/>
            <w:tcBorders>
              <w:top w:val="single" w:color="auto" w:sz="4" w:space="0"/>
              <w:left w:val="single" w:color="auto" w:sz="4" w:space="0"/>
              <w:bottom w:val="single" w:color="auto" w:sz="4" w:space="0"/>
              <w:right w:val="single" w:color="auto" w:sz="4" w:space="0"/>
            </w:tcBorders>
            <w:vAlign w:val="center"/>
          </w:tcPr>
          <w:p w14:paraId="170ED6B5">
            <w:pPr>
              <w:pStyle w:val="60"/>
              <w:ind w:firstLine="0" w:firstLineChars="0"/>
              <w:rPr>
                <w:sz w:val="18"/>
                <w:szCs w:val="18"/>
              </w:rPr>
            </w:pPr>
            <w:r>
              <w:rPr>
                <w:rFonts w:hint="eastAsia"/>
                <w:bCs/>
                <w:sz w:val="18"/>
                <w:szCs w:val="18"/>
              </w:rPr>
              <w:t>绝对值</w:t>
            </w:r>
          </w:p>
        </w:tc>
        <w:tc>
          <w:tcPr>
            <w:tcW w:w="1884" w:type="dxa"/>
            <w:gridSpan w:val="2"/>
            <w:tcBorders>
              <w:top w:val="single" w:color="auto" w:sz="4" w:space="0"/>
              <w:left w:val="single" w:color="auto" w:sz="4" w:space="0"/>
              <w:bottom w:val="single" w:color="auto" w:sz="4" w:space="0"/>
              <w:right w:val="single" w:color="auto" w:sz="4" w:space="0"/>
            </w:tcBorders>
            <w:vAlign w:val="center"/>
          </w:tcPr>
          <w:p w14:paraId="174F7867">
            <w:pPr>
              <w:pStyle w:val="60"/>
              <w:ind w:firstLine="0" w:firstLineChars="0"/>
              <w:rPr>
                <w:sz w:val="18"/>
                <w:szCs w:val="18"/>
              </w:rPr>
            </w:pPr>
            <w:r>
              <w:rPr>
                <w:rFonts w:hint="eastAsia"/>
                <w:bCs/>
                <w:sz w:val="18"/>
                <w:szCs w:val="18"/>
              </w:rPr>
              <w:t>相对值</w:t>
            </w:r>
          </w:p>
        </w:tc>
        <w:tc>
          <w:tcPr>
            <w:tcW w:w="1596" w:type="dxa"/>
            <w:vMerge w:val="continue"/>
            <w:tcBorders>
              <w:top w:val="single" w:color="auto" w:sz="4" w:space="0"/>
              <w:left w:val="single" w:color="auto" w:sz="4" w:space="0"/>
              <w:bottom w:val="single" w:color="auto" w:sz="4" w:space="0"/>
              <w:right w:val="single" w:color="auto" w:sz="4" w:space="0"/>
            </w:tcBorders>
            <w:vAlign w:val="center"/>
          </w:tcPr>
          <w:p w14:paraId="5CDC4EA0">
            <w:pPr>
              <w:pStyle w:val="60"/>
              <w:ind w:firstLine="0" w:firstLineChars="0"/>
              <w:rPr>
                <w:sz w:val="18"/>
                <w:szCs w:val="18"/>
              </w:rPr>
            </w:pPr>
          </w:p>
        </w:tc>
      </w:tr>
      <w:tr w14:paraId="3479D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restart"/>
            <w:tcBorders>
              <w:top w:val="single" w:color="auto" w:sz="4" w:space="0"/>
              <w:left w:val="single" w:color="auto" w:sz="4" w:space="0"/>
              <w:bottom w:val="single" w:color="auto" w:sz="4" w:space="0"/>
              <w:right w:val="single" w:color="auto" w:sz="4" w:space="0"/>
            </w:tcBorders>
            <w:vAlign w:val="center"/>
          </w:tcPr>
          <w:p w14:paraId="28240510">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支护结构顶部水平位移</w:t>
            </w:r>
          </w:p>
        </w:tc>
        <w:tc>
          <w:tcPr>
            <w:tcW w:w="1596" w:type="dxa"/>
            <w:tcBorders>
              <w:top w:val="single" w:color="auto" w:sz="4" w:space="0"/>
              <w:left w:val="single" w:color="auto" w:sz="4" w:space="0"/>
              <w:bottom w:val="single" w:color="auto" w:sz="4" w:space="0"/>
              <w:right w:val="single" w:color="auto" w:sz="4" w:space="0"/>
            </w:tcBorders>
            <w:vAlign w:val="center"/>
          </w:tcPr>
          <w:p w14:paraId="0917D3FC">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I</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4968C700">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497" w:type="dxa"/>
            <w:tcBorders>
              <w:top w:val="single" w:color="auto" w:sz="4" w:space="0"/>
              <w:left w:val="single" w:color="auto" w:sz="4" w:space="0"/>
              <w:bottom w:val="single" w:color="auto" w:sz="4" w:space="0"/>
              <w:right w:val="single" w:color="auto" w:sz="4" w:space="0"/>
            </w:tcBorders>
            <w:vAlign w:val="center"/>
          </w:tcPr>
          <w:p w14:paraId="05956D4D">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96" w:type="dxa"/>
            <w:tcBorders>
              <w:top w:val="single" w:color="auto" w:sz="4" w:space="0"/>
              <w:left w:val="single" w:color="auto" w:sz="4" w:space="0"/>
              <w:bottom w:val="single" w:color="auto" w:sz="4" w:space="0"/>
              <w:right w:val="single" w:color="auto" w:sz="4" w:space="0"/>
            </w:tcBorders>
            <w:vAlign w:val="center"/>
          </w:tcPr>
          <w:p w14:paraId="0C08EBD9">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7F3D66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continue"/>
            <w:tcBorders>
              <w:top w:val="single" w:color="auto" w:sz="4" w:space="0"/>
              <w:left w:val="single" w:color="auto" w:sz="4" w:space="0"/>
              <w:bottom w:val="single" w:color="auto" w:sz="4" w:space="0"/>
              <w:right w:val="single" w:color="auto" w:sz="4" w:space="0"/>
            </w:tcBorders>
            <w:vAlign w:val="center"/>
          </w:tcPr>
          <w:p w14:paraId="2A29F52B">
            <w:pPr>
              <w:pStyle w:val="60"/>
              <w:ind w:firstLine="0" w:firstLineChars="0"/>
              <w:rPr>
                <w:rFonts w:hint="eastAsia" w:ascii="宋体" w:hAnsi="宋体" w:eastAsia="宋体" w:cs="宋体"/>
                <w:sz w:val="18"/>
                <w:szCs w:val="18"/>
              </w:rPr>
            </w:pPr>
          </w:p>
        </w:tc>
        <w:tc>
          <w:tcPr>
            <w:tcW w:w="1596" w:type="dxa"/>
            <w:tcBorders>
              <w:top w:val="single" w:color="auto" w:sz="4" w:space="0"/>
              <w:left w:val="single" w:color="auto" w:sz="4" w:space="0"/>
              <w:bottom w:val="single" w:color="auto" w:sz="4" w:space="0"/>
              <w:right w:val="single" w:color="auto" w:sz="4" w:space="0"/>
            </w:tcBorders>
            <w:vAlign w:val="center"/>
          </w:tcPr>
          <w:p w14:paraId="0FBFB18A">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II</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4B110E74">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30</w:t>
            </w:r>
          </w:p>
        </w:tc>
        <w:tc>
          <w:tcPr>
            <w:tcW w:w="1497" w:type="dxa"/>
            <w:tcBorders>
              <w:top w:val="single" w:color="auto" w:sz="4" w:space="0"/>
              <w:left w:val="single" w:color="auto" w:sz="4" w:space="0"/>
              <w:bottom w:val="single" w:color="auto" w:sz="4" w:space="0"/>
              <w:right w:val="single" w:color="auto" w:sz="4" w:space="0"/>
            </w:tcBorders>
            <w:vAlign w:val="center"/>
          </w:tcPr>
          <w:p w14:paraId="14A0CF55">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1596" w:type="dxa"/>
            <w:tcBorders>
              <w:top w:val="single" w:color="auto" w:sz="4" w:space="0"/>
              <w:left w:val="single" w:color="auto" w:sz="4" w:space="0"/>
              <w:bottom w:val="single" w:color="auto" w:sz="4" w:space="0"/>
              <w:right w:val="single" w:color="auto" w:sz="4" w:space="0"/>
            </w:tcBorders>
            <w:vAlign w:val="center"/>
          </w:tcPr>
          <w:p w14:paraId="563E1E12">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r>
      <w:tr w14:paraId="5B3C7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restart"/>
            <w:tcBorders>
              <w:top w:val="single" w:color="auto" w:sz="4" w:space="0"/>
              <w:left w:val="single" w:color="auto" w:sz="4" w:space="0"/>
              <w:bottom w:val="single" w:color="auto" w:sz="4" w:space="0"/>
              <w:right w:val="single" w:color="auto" w:sz="4" w:space="0"/>
            </w:tcBorders>
            <w:vAlign w:val="center"/>
          </w:tcPr>
          <w:p w14:paraId="0BB82A63">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支护结构顶部竖向位移</w:t>
            </w:r>
          </w:p>
        </w:tc>
        <w:tc>
          <w:tcPr>
            <w:tcW w:w="1596" w:type="dxa"/>
            <w:tcBorders>
              <w:top w:val="single" w:color="auto" w:sz="4" w:space="0"/>
              <w:left w:val="single" w:color="auto" w:sz="4" w:space="0"/>
              <w:bottom w:val="single" w:color="auto" w:sz="4" w:space="0"/>
              <w:right w:val="single" w:color="auto" w:sz="4" w:space="0"/>
            </w:tcBorders>
            <w:vAlign w:val="center"/>
          </w:tcPr>
          <w:p w14:paraId="3DDA9936">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I</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57A2A79B">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497" w:type="dxa"/>
            <w:tcBorders>
              <w:top w:val="single" w:color="auto" w:sz="4" w:space="0"/>
              <w:left w:val="single" w:color="auto" w:sz="4" w:space="0"/>
              <w:bottom w:val="single" w:color="auto" w:sz="4" w:space="0"/>
              <w:right w:val="single" w:color="auto" w:sz="4" w:space="0"/>
            </w:tcBorders>
            <w:vAlign w:val="center"/>
          </w:tcPr>
          <w:p w14:paraId="1882E434">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96" w:type="dxa"/>
            <w:tcBorders>
              <w:top w:val="single" w:color="auto" w:sz="4" w:space="0"/>
              <w:left w:val="single" w:color="auto" w:sz="4" w:space="0"/>
              <w:bottom w:val="single" w:color="auto" w:sz="4" w:space="0"/>
              <w:right w:val="single" w:color="auto" w:sz="4" w:space="0"/>
            </w:tcBorders>
            <w:vAlign w:val="center"/>
          </w:tcPr>
          <w:p w14:paraId="5AA30D25">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2DD4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2175" w:type="dxa"/>
            <w:vMerge w:val="continue"/>
            <w:tcBorders>
              <w:top w:val="single" w:color="auto" w:sz="4" w:space="0"/>
              <w:left w:val="single" w:color="auto" w:sz="4" w:space="0"/>
              <w:bottom w:val="single" w:color="auto" w:sz="4" w:space="0"/>
              <w:right w:val="single" w:color="auto" w:sz="4" w:space="0"/>
            </w:tcBorders>
            <w:vAlign w:val="center"/>
          </w:tcPr>
          <w:p w14:paraId="6005D280">
            <w:pPr>
              <w:pStyle w:val="60"/>
              <w:ind w:firstLine="0" w:firstLineChars="0"/>
              <w:rPr>
                <w:rFonts w:hint="eastAsia" w:ascii="宋体" w:hAnsi="宋体" w:eastAsia="宋体" w:cs="宋体"/>
                <w:sz w:val="18"/>
                <w:szCs w:val="18"/>
              </w:rPr>
            </w:pPr>
          </w:p>
        </w:tc>
        <w:tc>
          <w:tcPr>
            <w:tcW w:w="1596" w:type="dxa"/>
            <w:tcBorders>
              <w:top w:val="single" w:color="auto" w:sz="4" w:space="0"/>
              <w:left w:val="single" w:color="auto" w:sz="4" w:space="0"/>
              <w:bottom w:val="single" w:color="auto" w:sz="4" w:space="0"/>
              <w:right w:val="single" w:color="auto" w:sz="4" w:space="0"/>
            </w:tcBorders>
            <w:vAlign w:val="center"/>
          </w:tcPr>
          <w:p w14:paraId="13C99162">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II</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5F84131E">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20</w:t>
            </w:r>
          </w:p>
        </w:tc>
        <w:tc>
          <w:tcPr>
            <w:tcW w:w="1497" w:type="dxa"/>
            <w:tcBorders>
              <w:top w:val="single" w:color="auto" w:sz="4" w:space="0"/>
              <w:left w:val="single" w:color="auto" w:sz="4" w:space="0"/>
              <w:bottom w:val="single" w:color="auto" w:sz="4" w:space="0"/>
              <w:right w:val="single" w:color="auto" w:sz="4" w:space="0"/>
            </w:tcBorders>
            <w:vAlign w:val="center"/>
          </w:tcPr>
          <w:p w14:paraId="44C4A980">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1596" w:type="dxa"/>
            <w:tcBorders>
              <w:top w:val="single" w:color="auto" w:sz="4" w:space="0"/>
              <w:left w:val="single" w:color="auto" w:sz="4" w:space="0"/>
              <w:bottom w:val="single" w:color="auto" w:sz="4" w:space="0"/>
              <w:right w:val="single" w:color="auto" w:sz="4" w:space="0"/>
            </w:tcBorders>
            <w:vAlign w:val="center"/>
          </w:tcPr>
          <w:p w14:paraId="5AACC2F1">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r>
      <w:tr w14:paraId="527913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31BD4FA0">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周边地表竖向位移</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24B8E3DD">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30</w:t>
            </w:r>
          </w:p>
        </w:tc>
        <w:tc>
          <w:tcPr>
            <w:tcW w:w="1497" w:type="dxa"/>
            <w:tcBorders>
              <w:top w:val="single" w:color="auto" w:sz="4" w:space="0"/>
              <w:left w:val="single" w:color="auto" w:sz="4" w:space="0"/>
              <w:bottom w:val="single" w:color="auto" w:sz="4" w:space="0"/>
              <w:right w:val="single" w:color="auto" w:sz="4" w:space="0"/>
            </w:tcBorders>
            <w:vAlign w:val="center"/>
          </w:tcPr>
          <w:p w14:paraId="053F05D8">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1596" w:type="dxa"/>
            <w:tcBorders>
              <w:top w:val="single" w:color="auto" w:sz="4" w:space="0"/>
              <w:left w:val="single" w:color="auto" w:sz="4" w:space="0"/>
              <w:bottom w:val="single" w:color="auto" w:sz="4" w:space="0"/>
              <w:right w:val="single" w:color="auto" w:sz="4" w:space="0"/>
            </w:tcBorders>
            <w:vAlign w:val="center"/>
          </w:tcPr>
          <w:p w14:paraId="0963C3F9">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r>
      <w:tr w14:paraId="439F09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08E0EBBE">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深层水平位移</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6AB5912C">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40</w:t>
            </w:r>
          </w:p>
        </w:tc>
        <w:tc>
          <w:tcPr>
            <w:tcW w:w="1497" w:type="dxa"/>
            <w:tcBorders>
              <w:top w:val="single" w:color="auto" w:sz="4" w:space="0"/>
              <w:left w:val="single" w:color="auto" w:sz="4" w:space="0"/>
              <w:bottom w:val="single" w:color="auto" w:sz="4" w:space="0"/>
              <w:right w:val="single" w:color="auto" w:sz="4" w:space="0"/>
            </w:tcBorders>
            <w:vAlign w:val="center"/>
          </w:tcPr>
          <w:p w14:paraId="4C4B4041">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c>
          <w:tcPr>
            <w:tcW w:w="1596" w:type="dxa"/>
            <w:tcBorders>
              <w:top w:val="single" w:color="auto" w:sz="4" w:space="0"/>
              <w:left w:val="single" w:color="auto" w:sz="4" w:space="0"/>
              <w:bottom w:val="single" w:color="auto" w:sz="4" w:space="0"/>
              <w:right w:val="single" w:color="auto" w:sz="4" w:space="0"/>
            </w:tcBorders>
            <w:vAlign w:val="center"/>
          </w:tcPr>
          <w:p w14:paraId="067BE877">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r>
      <w:tr w14:paraId="4B78E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2BEE1070">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立柱竖向位移</w:t>
            </w:r>
          </w:p>
        </w:tc>
        <w:tc>
          <w:tcPr>
            <w:tcW w:w="1547" w:type="dxa"/>
            <w:gridSpan w:val="2"/>
            <w:tcBorders>
              <w:top w:val="single" w:color="auto" w:sz="4" w:space="0"/>
              <w:left w:val="single" w:color="auto" w:sz="4" w:space="0"/>
              <w:bottom w:val="single" w:color="auto" w:sz="4" w:space="0"/>
              <w:right w:val="single" w:color="auto" w:sz="4" w:space="0"/>
            </w:tcBorders>
            <w:vAlign w:val="center"/>
          </w:tcPr>
          <w:p w14:paraId="2D26CDBB">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20</w:t>
            </w:r>
          </w:p>
        </w:tc>
        <w:tc>
          <w:tcPr>
            <w:tcW w:w="1497" w:type="dxa"/>
            <w:tcBorders>
              <w:top w:val="single" w:color="auto" w:sz="4" w:space="0"/>
              <w:left w:val="single" w:color="auto" w:sz="4" w:space="0"/>
              <w:bottom w:val="single" w:color="auto" w:sz="4" w:space="0"/>
              <w:right w:val="single" w:color="auto" w:sz="4" w:space="0"/>
            </w:tcBorders>
            <w:vAlign w:val="center"/>
          </w:tcPr>
          <w:p w14:paraId="256E65DF">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96" w:type="dxa"/>
            <w:tcBorders>
              <w:top w:val="single" w:color="auto" w:sz="4" w:space="0"/>
              <w:left w:val="single" w:color="auto" w:sz="4" w:space="0"/>
              <w:bottom w:val="single" w:color="auto" w:sz="4" w:space="0"/>
              <w:right w:val="single" w:color="auto" w:sz="4" w:space="0"/>
            </w:tcBorders>
            <w:vAlign w:val="center"/>
          </w:tcPr>
          <w:p w14:paraId="5C243B48">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r>
      <w:tr w14:paraId="650921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20302C28">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坑底隆起</w:t>
            </w:r>
          </w:p>
        </w:tc>
        <w:tc>
          <w:tcPr>
            <w:tcW w:w="4640" w:type="dxa"/>
            <w:gridSpan w:val="4"/>
            <w:tcBorders>
              <w:top w:val="single" w:color="auto" w:sz="4" w:space="0"/>
              <w:left w:val="single" w:color="auto" w:sz="4" w:space="0"/>
              <w:bottom w:val="single" w:color="auto" w:sz="4" w:space="0"/>
              <w:right w:val="single" w:color="auto" w:sz="4" w:space="0"/>
            </w:tcBorders>
            <w:vAlign w:val="center"/>
          </w:tcPr>
          <w:p w14:paraId="39F4BEA1">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累计值：30mm~60mm，变化速率：4mm/d~10mm/d</w:t>
            </w:r>
          </w:p>
        </w:tc>
      </w:tr>
      <w:tr w14:paraId="3A0657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3F49B98E">
            <w:pPr>
              <w:pStyle w:val="60"/>
              <w:ind w:firstLine="0" w:firstLineChars="0"/>
              <w:jc w:val="center"/>
              <w:rPr>
                <w:rFonts w:hint="eastAsia" w:ascii="宋体" w:hAnsi="宋体" w:eastAsia="宋体" w:cs="宋体"/>
                <w:sz w:val="18"/>
                <w:szCs w:val="18"/>
              </w:rPr>
            </w:pPr>
            <w:r>
              <w:rPr>
                <w:rFonts w:hint="eastAsia" w:ascii="宋体" w:hAnsi="宋体" w:eastAsia="宋体" w:cs="宋体"/>
                <w:sz w:val="18"/>
                <w:szCs w:val="18"/>
              </w:rPr>
              <w:t>锚杆轴力</w:t>
            </w:r>
          </w:p>
        </w:tc>
        <w:tc>
          <w:tcPr>
            <w:tcW w:w="4640" w:type="dxa"/>
            <w:gridSpan w:val="4"/>
            <w:tcBorders>
              <w:top w:val="single" w:color="auto" w:sz="4" w:space="0"/>
              <w:left w:val="single" w:color="auto" w:sz="4" w:space="0"/>
              <w:bottom w:val="single" w:color="auto" w:sz="4" w:space="0"/>
              <w:right w:val="single" w:color="auto" w:sz="4" w:space="0"/>
            </w:tcBorders>
            <w:vAlign w:val="center"/>
          </w:tcPr>
          <w:p w14:paraId="36088FB4">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＜0.5</w:t>
            </w:r>
            <w:r>
              <w:rPr>
                <w:rFonts w:hint="eastAsia" w:ascii="宋体" w:hAnsi="宋体" w:eastAsia="宋体" w:cs="宋体"/>
                <w:i/>
                <w:iCs/>
                <w:sz w:val="18"/>
                <w:szCs w:val="18"/>
              </w:rPr>
              <w:t>N</w:t>
            </w:r>
            <w:r>
              <w:rPr>
                <w:rFonts w:hint="eastAsia" w:ascii="宋体" w:hAnsi="宋体" w:eastAsia="宋体" w:cs="宋体"/>
                <w:sz w:val="18"/>
                <w:szCs w:val="18"/>
              </w:rPr>
              <w:t>k 或＞ 1.4</w:t>
            </w:r>
            <w:r>
              <w:rPr>
                <w:rFonts w:hint="eastAsia" w:ascii="宋体" w:hAnsi="宋体" w:eastAsia="宋体" w:cs="宋体"/>
                <w:i/>
                <w:iCs/>
                <w:sz w:val="18"/>
                <w:szCs w:val="18"/>
              </w:rPr>
              <w:t>N</w:t>
            </w:r>
            <w:r>
              <w:rPr>
                <w:rFonts w:hint="eastAsia" w:ascii="宋体" w:hAnsi="宋体" w:eastAsia="宋体" w:cs="宋体"/>
                <w:sz w:val="18"/>
                <w:szCs w:val="18"/>
              </w:rPr>
              <w:t>k</w:t>
            </w:r>
          </w:p>
        </w:tc>
      </w:tr>
      <w:tr w14:paraId="723FE5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3771" w:type="dxa"/>
            <w:gridSpan w:val="2"/>
            <w:tcBorders>
              <w:top w:val="single" w:color="auto" w:sz="4" w:space="0"/>
              <w:left w:val="single" w:color="auto" w:sz="4" w:space="0"/>
              <w:bottom w:val="single" w:color="auto" w:sz="4" w:space="0"/>
              <w:right w:val="single" w:color="auto" w:sz="4" w:space="0"/>
            </w:tcBorders>
            <w:vAlign w:val="center"/>
          </w:tcPr>
          <w:p w14:paraId="04429946">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支撑轴力</w:t>
            </w:r>
          </w:p>
        </w:tc>
        <w:tc>
          <w:tcPr>
            <w:tcW w:w="4640" w:type="dxa"/>
            <w:gridSpan w:val="4"/>
            <w:tcBorders>
              <w:top w:val="single" w:color="auto" w:sz="4" w:space="0"/>
              <w:left w:val="single" w:color="auto" w:sz="4" w:space="0"/>
              <w:bottom w:val="single" w:color="auto" w:sz="4" w:space="0"/>
              <w:right w:val="single" w:color="auto" w:sz="4" w:space="0"/>
            </w:tcBorders>
            <w:vAlign w:val="center"/>
          </w:tcPr>
          <w:p w14:paraId="5B3E8074">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＜0.5</w:t>
            </w:r>
            <w:r>
              <w:rPr>
                <w:rFonts w:hint="eastAsia" w:ascii="宋体" w:hAnsi="宋体" w:eastAsia="宋体" w:cs="宋体"/>
                <w:i/>
                <w:iCs/>
                <w:sz w:val="18"/>
                <w:szCs w:val="18"/>
              </w:rPr>
              <w:t xml:space="preserve">Nk </w:t>
            </w:r>
            <w:r>
              <w:rPr>
                <w:rFonts w:hint="eastAsia" w:ascii="宋体" w:hAnsi="宋体" w:eastAsia="宋体" w:cs="宋体"/>
                <w:sz w:val="18"/>
                <w:szCs w:val="18"/>
              </w:rPr>
              <w:t>或＞构件承载能力设计值的 80%</w:t>
            </w:r>
          </w:p>
        </w:tc>
      </w:tr>
      <w:tr w14:paraId="30CCB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8411" w:type="dxa"/>
            <w:gridSpan w:val="6"/>
            <w:tcBorders>
              <w:top w:val="single" w:color="auto" w:sz="4" w:space="0"/>
              <w:left w:val="single" w:color="000000" w:sz="2" w:space="0"/>
              <w:bottom w:val="single" w:color="000000" w:sz="2" w:space="0"/>
              <w:right w:val="single" w:color="auto" w:sz="4" w:space="0"/>
            </w:tcBorders>
            <w:vAlign w:val="center"/>
          </w:tcPr>
          <w:p w14:paraId="4FCE83A5">
            <w:pPr>
              <w:pStyle w:val="60"/>
              <w:ind w:firstLine="360"/>
              <w:rPr>
                <w:rFonts w:hint="eastAsia" w:ascii="宋体" w:hAnsi="宋体" w:eastAsia="宋体" w:cs="宋体"/>
                <w:sz w:val="18"/>
                <w:szCs w:val="18"/>
              </w:rPr>
            </w:pPr>
            <w:r>
              <w:rPr>
                <w:rFonts w:hint="eastAsia" w:ascii="宋体" w:hAnsi="宋体" w:eastAsia="宋体" w:cs="宋体"/>
                <w:sz w:val="18"/>
                <w:szCs w:val="18"/>
              </w:rPr>
              <w:t>注：1  支护类型 I 主要指放坡、土钉墙、复合土钉墙、悬臂桩等；类型 II 主要指支护 桩+锚杆、地连墙+锚杆、内支撑等；</w:t>
            </w:r>
          </w:p>
          <w:p w14:paraId="3FF63881">
            <w:pPr>
              <w:pStyle w:val="60"/>
              <w:ind w:firstLine="360"/>
              <w:rPr>
                <w:rFonts w:hint="eastAsia" w:ascii="宋体" w:hAnsi="宋体" w:eastAsia="宋体" w:cs="宋体"/>
                <w:sz w:val="18"/>
                <w:szCs w:val="18"/>
              </w:rPr>
            </w:pPr>
            <w:r>
              <w:rPr>
                <w:rFonts w:hint="eastAsia" w:ascii="宋体" w:hAnsi="宋体" w:eastAsia="宋体" w:cs="宋体"/>
                <w:sz w:val="18"/>
                <w:szCs w:val="18"/>
              </w:rPr>
              <w:t>2  相对值指相对基坑设计深度h 的变形控制值；</w:t>
            </w:r>
          </w:p>
          <w:p w14:paraId="01D6AEA4">
            <w:pPr>
              <w:pStyle w:val="60"/>
              <w:ind w:firstLine="360"/>
              <w:rPr>
                <w:rFonts w:hint="eastAsia" w:ascii="宋体" w:hAnsi="宋体" w:eastAsia="宋体" w:cs="宋体"/>
                <w:sz w:val="18"/>
                <w:szCs w:val="18"/>
              </w:rPr>
            </w:pPr>
            <w:r>
              <w:rPr>
                <w:rFonts w:hint="eastAsia" w:ascii="宋体" w:hAnsi="宋体" w:eastAsia="宋体" w:cs="宋体"/>
                <w:sz w:val="18"/>
                <w:szCs w:val="18"/>
              </w:rPr>
              <w:t>3  累计值取绝对值和相对值的较小值；</w:t>
            </w:r>
          </w:p>
          <w:p w14:paraId="7138D476">
            <w:pPr>
              <w:pStyle w:val="60"/>
              <w:ind w:firstLine="360"/>
              <w:rPr>
                <w:rFonts w:hint="eastAsia" w:ascii="宋体" w:hAnsi="宋体" w:eastAsia="宋体" w:cs="宋体"/>
                <w:sz w:val="18"/>
                <w:szCs w:val="18"/>
              </w:rPr>
            </w:pPr>
            <w:r>
              <w:rPr>
                <w:rFonts w:hint="eastAsia" w:ascii="宋体" w:hAnsi="宋体" w:eastAsia="宋体" w:cs="宋体"/>
                <w:sz w:val="18"/>
                <w:szCs w:val="18"/>
              </w:rPr>
              <w:t>4  绝对值单位：mm，变化速率单位：mm/d；</w:t>
            </w:r>
          </w:p>
          <w:p w14:paraId="1A92023B">
            <w:pPr>
              <w:pStyle w:val="60"/>
              <w:ind w:firstLine="360"/>
              <w:rPr>
                <w:rFonts w:hint="eastAsia" w:ascii="宋体" w:hAnsi="宋体" w:eastAsia="宋体" w:cs="宋体"/>
                <w:sz w:val="18"/>
                <w:szCs w:val="18"/>
              </w:rPr>
            </w:pPr>
            <w:r>
              <w:rPr>
                <w:rFonts w:hint="eastAsia" w:ascii="宋体" w:hAnsi="宋体" w:eastAsia="宋体" w:cs="宋体"/>
                <w:sz w:val="18"/>
                <w:szCs w:val="18"/>
              </w:rPr>
              <w:t>5  其他监测项目如挡土构件内力、土压力、孔隙水压力等，其监测控制值的取值 按照现行的国家、行业、地方及企业标准、图集确定；</w:t>
            </w:r>
          </w:p>
          <w:p w14:paraId="637B7530">
            <w:pPr>
              <w:pStyle w:val="60"/>
              <w:ind w:firstLine="360"/>
              <w:rPr>
                <w:rFonts w:hint="eastAsia" w:ascii="宋体" w:hAnsi="宋体" w:eastAsia="宋体" w:cs="宋体"/>
                <w:sz w:val="18"/>
                <w:szCs w:val="18"/>
              </w:rPr>
            </w:pPr>
            <w:r>
              <w:rPr>
                <w:rFonts w:hint="eastAsia" w:ascii="宋体" w:hAnsi="宋体" w:eastAsia="宋体" w:cs="宋体"/>
                <w:sz w:val="18"/>
                <w:szCs w:val="18"/>
              </w:rPr>
              <w:t xml:space="preserve">6 </w:t>
            </w:r>
            <w:r>
              <w:rPr>
                <w:rFonts w:hint="eastAsia" w:ascii="宋体" w:hAnsi="宋体" w:eastAsia="宋体" w:cs="宋体"/>
                <w:i/>
                <w:iCs/>
                <w:sz w:val="18"/>
                <w:szCs w:val="18"/>
              </w:rPr>
              <w:t>N</w:t>
            </w:r>
            <w:r>
              <w:rPr>
                <w:rFonts w:hint="eastAsia" w:ascii="宋体" w:hAnsi="宋体" w:eastAsia="宋体" w:cs="宋体"/>
                <w:sz w:val="18"/>
                <w:szCs w:val="18"/>
              </w:rPr>
              <w:t>k  为锚杆或支撑轴力标准值，确定支撑构件承载能力设计值时应充分考虑施工 偏差对支撑承载能力的不利影响；</w:t>
            </w:r>
          </w:p>
          <w:p w14:paraId="5FB1DC68">
            <w:pPr>
              <w:pStyle w:val="60"/>
              <w:ind w:firstLine="0" w:firstLineChars="0"/>
              <w:rPr>
                <w:rFonts w:hint="eastAsia" w:ascii="宋体" w:hAnsi="宋体" w:eastAsia="宋体" w:cs="宋体"/>
                <w:sz w:val="18"/>
                <w:szCs w:val="18"/>
              </w:rPr>
            </w:pPr>
            <w:r>
              <w:rPr>
                <w:rFonts w:hint="eastAsia" w:ascii="宋体" w:hAnsi="宋体" w:eastAsia="宋体" w:cs="宋体"/>
                <w:sz w:val="18"/>
                <w:szCs w:val="18"/>
              </w:rPr>
              <w:t>7  控制值取值应根据各支护段基坑设计深度 h、设计计算结果等因素综合考虑，对 于不同支护段，可在偏于安全的前提下对取值进行适当归并。</w:t>
            </w:r>
          </w:p>
        </w:tc>
      </w:tr>
    </w:tbl>
    <w:p w14:paraId="5AE65AF4">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表1</w:t>
      </w:r>
      <w:r>
        <w:rPr>
          <w:rFonts w:ascii="黑体" w:hAnsi="黑体" w:eastAsia="黑体"/>
          <w:bCs/>
          <w:color w:val="000000" w:themeColor="text1"/>
          <w14:textFill>
            <w14:solidFill>
              <w14:schemeClr w14:val="tx1"/>
            </w14:solidFill>
          </w14:textFill>
        </w:rPr>
        <w:t>6</w:t>
      </w:r>
      <w:r>
        <w:rPr>
          <w:rFonts w:hint="eastAsia" w:ascii="黑体" w:hAnsi="黑体" w:eastAsia="黑体"/>
          <w:bCs/>
          <w:color w:val="000000" w:themeColor="text1"/>
          <w14:textFill>
            <w14:solidFill>
              <w14:schemeClr w14:val="tx1"/>
            </w14:solidFill>
          </w14:textFill>
        </w:rPr>
        <w:t xml:space="preserve">  基坑周边环境监测点预警值</w:t>
      </w:r>
    </w:p>
    <w:tbl>
      <w:tblPr>
        <w:tblStyle w:val="246"/>
        <w:tblW w:w="45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8"/>
        <w:gridCol w:w="1726"/>
        <w:gridCol w:w="3974"/>
        <w:gridCol w:w="1006"/>
        <w:gridCol w:w="749"/>
      </w:tblGrid>
      <w:tr w14:paraId="018CD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691" w:type="dxa"/>
            <w:gridSpan w:val="2"/>
            <w:tcBorders>
              <w:top w:val="single" w:color="000000" w:sz="2" w:space="0"/>
              <w:left w:val="single" w:color="000000" w:sz="2" w:space="0"/>
              <w:bottom w:val="single" w:color="auto" w:sz="4" w:space="0"/>
              <w:right w:val="single" w:color="000000" w:sz="2" w:space="0"/>
            </w:tcBorders>
            <w:vAlign w:val="center"/>
          </w:tcPr>
          <w:p w14:paraId="5387F635">
            <w:pPr>
              <w:pStyle w:val="245"/>
              <w:jc w:val="center"/>
              <w:rPr>
                <w:rFonts w:ascii="宋体" w:hAnsi="宋体" w:eastAsia="宋体" w:cs="Times New Roman"/>
                <w:sz w:val="18"/>
                <w:szCs w:val="18"/>
              </w:rPr>
            </w:pPr>
            <w:r>
              <w:rPr>
                <w:rFonts w:hint="eastAsia" w:ascii="宋体" w:hAnsi="宋体" w:eastAsia="宋体" w:cs="Times New Roman"/>
                <w:bCs/>
                <w:spacing w:val="-6"/>
                <w:sz w:val="18"/>
                <w:szCs w:val="18"/>
              </w:rPr>
              <w:t>监测项目</w:t>
            </w:r>
          </w:p>
        </w:tc>
        <w:tc>
          <w:tcPr>
            <w:tcW w:w="3969" w:type="dxa"/>
            <w:tcBorders>
              <w:top w:val="single" w:color="000000" w:sz="2" w:space="0"/>
              <w:left w:val="single" w:color="000000" w:sz="2" w:space="0"/>
              <w:bottom w:val="single" w:color="auto" w:sz="4" w:space="0"/>
              <w:right w:val="single" w:color="000000" w:sz="2" w:space="0"/>
            </w:tcBorders>
            <w:vAlign w:val="center"/>
          </w:tcPr>
          <w:p w14:paraId="204C2A2B">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累计值（</w:t>
            </w:r>
            <w:r>
              <w:rPr>
                <w:rFonts w:ascii="宋体" w:hAnsi="宋体" w:eastAsia="宋体" w:cs="Times New Roman"/>
                <w:bCs/>
                <w:spacing w:val="-6"/>
                <w:sz w:val="18"/>
                <w:szCs w:val="18"/>
              </w:rPr>
              <w:t>mm</w:t>
            </w:r>
            <w:r>
              <w:rPr>
                <w:rFonts w:hint="eastAsia" w:ascii="宋体" w:hAnsi="宋体" w:eastAsia="宋体" w:cs="Times New Roman"/>
                <w:bCs/>
                <w:spacing w:val="-6"/>
                <w:sz w:val="18"/>
                <w:szCs w:val="18"/>
              </w:rPr>
              <w:t>）</w:t>
            </w:r>
          </w:p>
        </w:tc>
        <w:tc>
          <w:tcPr>
            <w:tcW w:w="1005" w:type="dxa"/>
            <w:tcBorders>
              <w:top w:val="single" w:color="000000" w:sz="2" w:space="0"/>
              <w:left w:val="single" w:color="000000" w:sz="2" w:space="0"/>
              <w:bottom w:val="single" w:color="auto" w:sz="4" w:space="0"/>
              <w:right w:val="single" w:color="000000" w:sz="2" w:space="0"/>
            </w:tcBorders>
            <w:vAlign w:val="center"/>
          </w:tcPr>
          <w:p w14:paraId="1358CB0C">
            <w:pPr>
              <w:pStyle w:val="245"/>
              <w:ind w:right="84" w:firstLine="73"/>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变化速率 （</w:t>
            </w:r>
            <w:r>
              <w:rPr>
                <w:rFonts w:ascii="宋体" w:hAnsi="宋体" w:eastAsia="宋体" w:cs="Times New Roman"/>
                <w:bCs/>
                <w:spacing w:val="-6"/>
                <w:sz w:val="18"/>
                <w:szCs w:val="18"/>
              </w:rPr>
              <w:t>mm/d</w:t>
            </w:r>
            <w:r>
              <w:rPr>
                <w:rFonts w:hint="eastAsia" w:ascii="宋体" w:hAnsi="宋体" w:eastAsia="宋体" w:cs="Times New Roman"/>
                <w:bCs/>
                <w:spacing w:val="-6"/>
                <w:sz w:val="18"/>
                <w:szCs w:val="18"/>
              </w:rPr>
              <w:t>）</w:t>
            </w:r>
          </w:p>
        </w:tc>
        <w:tc>
          <w:tcPr>
            <w:tcW w:w="748" w:type="dxa"/>
            <w:tcBorders>
              <w:top w:val="single" w:color="000000" w:sz="2" w:space="0"/>
              <w:left w:val="single" w:color="000000" w:sz="2" w:space="0"/>
              <w:bottom w:val="single" w:color="auto" w:sz="4" w:space="0"/>
              <w:right w:val="single" w:color="000000" w:sz="2" w:space="0"/>
            </w:tcBorders>
            <w:vAlign w:val="center"/>
          </w:tcPr>
          <w:p w14:paraId="1B5ABF15">
            <w:pPr>
              <w:pStyle w:val="245"/>
              <w:spacing w:before="204"/>
              <w:ind w:left="191"/>
              <w:rPr>
                <w:rFonts w:ascii="宋体" w:hAnsi="宋体" w:eastAsia="宋体" w:cs="Times New Roman"/>
                <w:sz w:val="18"/>
                <w:szCs w:val="18"/>
              </w:rPr>
            </w:pPr>
            <w:r>
              <w:rPr>
                <w:rFonts w:hint="eastAsia" w:ascii="宋体" w:hAnsi="宋体" w:eastAsia="宋体" w:cs="Times New Roman"/>
                <w:bCs/>
                <w:spacing w:val="-5"/>
                <w:sz w:val="18"/>
                <w:szCs w:val="18"/>
              </w:rPr>
              <w:t>备注</w:t>
            </w:r>
          </w:p>
        </w:tc>
      </w:tr>
      <w:tr w14:paraId="519E4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691" w:type="dxa"/>
            <w:gridSpan w:val="2"/>
            <w:tcBorders>
              <w:top w:val="single" w:color="auto" w:sz="4" w:space="0"/>
              <w:left w:val="single" w:color="auto" w:sz="4" w:space="0"/>
              <w:bottom w:val="single" w:color="auto" w:sz="4" w:space="0"/>
              <w:right w:val="single" w:color="auto" w:sz="4" w:space="0"/>
            </w:tcBorders>
            <w:vAlign w:val="center"/>
          </w:tcPr>
          <w:p w14:paraId="37ACCC57">
            <w:pPr>
              <w:pStyle w:val="245"/>
              <w:jc w:val="center"/>
              <w:rPr>
                <w:rFonts w:ascii="宋体" w:hAnsi="宋体" w:eastAsia="宋体" w:cs="Times New Roman"/>
                <w:sz w:val="18"/>
                <w:szCs w:val="18"/>
              </w:rPr>
            </w:pPr>
            <w:r>
              <w:rPr>
                <w:rFonts w:hint="eastAsia" w:ascii="宋体" w:hAnsi="宋体" w:eastAsia="宋体" w:cs="Times New Roman"/>
                <w:bCs/>
                <w:spacing w:val="-6"/>
                <w:sz w:val="18"/>
                <w:szCs w:val="18"/>
              </w:rPr>
              <w:t>地下水位变化</w:t>
            </w:r>
          </w:p>
        </w:tc>
        <w:tc>
          <w:tcPr>
            <w:tcW w:w="3969" w:type="dxa"/>
            <w:tcBorders>
              <w:top w:val="single" w:color="auto" w:sz="4" w:space="0"/>
              <w:left w:val="single" w:color="auto" w:sz="4" w:space="0"/>
              <w:bottom w:val="single" w:color="auto" w:sz="4" w:space="0"/>
              <w:right w:val="single" w:color="auto" w:sz="4" w:space="0"/>
            </w:tcBorders>
            <w:vAlign w:val="center"/>
          </w:tcPr>
          <w:p w14:paraId="691661ED">
            <w:pPr>
              <w:pStyle w:val="245"/>
              <w:rPr>
                <w:rFonts w:ascii="宋体" w:hAnsi="宋体" w:eastAsia="宋体" w:cs="Times New Roman"/>
                <w:bCs/>
                <w:spacing w:val="-6"/>
                <w:sz w:val="18"/>
                <w:szCs w:val="18"/>
              </w:rPr>
            </w:pPr>
            <w:r>
              <w:rPr>
                <w:rFonts w:ascii="宋体" w:hAnsi="宋体" w:eastAsia="宋体" w:cs="Times New Roman"/>
                <w:bCs/>
                <w:spacing w:val="-6"/>
                <w:sz w:val="18"/>
                <w:szCs w:val="18"/>
              </w:rPr>
              <w:t>a. ≥2000</w:t>
            </w:r>
            <w:r>
              <w:rPr>
                <w:rFonts w:hint="eastAsia" w:ascii="宋体" w:hAnsi="宋体" w:eastAsia="宋体" w:cs="Times New Roman"/>
                <w:bCs/>
                <w:spacing w:val="-6"/>
                <w:sz w:val="18"/>
                <w:szCs w:val="18"/>
              </w:rPr>
              <w:t>（常年变幅以外）</w:t>
            </w:r>
          </w:p>
          <w:p w14:paraId="0805E471">
            <w:pPr>
              <w:pStyle w:val="245"/>
              <w:ind w:right="101" w:hanging="9"/>
              <w:rPr>
                <w:rFonts w:ascii="宋体" w:hAnsi="宋体" w:eastAsia="宋体" w:cs="Times New Roman"/>
                <w:bCs/>
                <w:spacing w:val="-6"/>
                <w:sz w:val="18"/>
                <w:szCs w:val="18"/>
              </w:rPr>
            </w:pPr>
            <w:r>
              <w:rPr>
                <w:rFonts w:ascii="宋体" w:hAnsi="宋体" w:eastAsia="宋体" w:cs="Times New Roman"/>
                <w:bCs/>
                <w:spacing w:val="-6"/>
                <w:sz w:val="18"/>
                <w:szCs w:val="18"/>
              </w:rPr>
              <w:t xml:space="preserve">b.  </w:t>
            </w:r>
            <w:r>
              <w:rPr>
                <w:rFonts w:hint="eastAsia" w:ascii="宋体" w:hAnsi="宋体" w:eastAsia="宋体" w:cs="Times New Roman"/>
                <w:bCs/>
                <w:spacing w:val="-6"/>
                <w:sz w:val="18"/>
                <w:szCs w:val="18"/>
              </w:rPr>
              <w:t>坑外地下水位标高</w:t>
            </w:r>
            <w:r>
              <w:rPr>
                <w:rFonts w:ascii="宋体" w:hAnsi="宋体" w:eastAsia="宋体" w:cs="Times New Roman"/>
                <w:bCs/>
                <w:spacing w:val="-6"/>
                <w:sz w:val="18"/>
                <w:szCs w:val="18"/>
              </w:rPr>
              <w:t>≥</w:t>
            </w:r>
            <w:r>
              <w:rPr>
                <w:rFonts w:hint="eastAsia" w:ascii="宋体" w:hAnsi="宋体" w:eastAsia="宋体" w:cs="Times New Roman"/>
                <w:bCs/>
                <w:spacing w:val="-6"/>
                <w:sz w:val="18"/>
                <w:szCs w:val="18"/>
              </w:rPr>
              <w:t>设计计算采 用的水位标高</w:t>
            </w:r>
          </w:p>
          <w:p w14:paraId="67E56533">
            <w:pPr>
              <w:pStyle w:val="245"/>
              <w:rPr>
                <w:rFonts w:ascii="宋体" w:hAnsi="宋体" w:eastAsia="宋体" w:cs="Times New Roman"/>
                <w:bCs/>
                <w:spacing w:val="-6"/>
                <w:sz w:val="18"/>
                <w:szCs w:val="18"/>
              </w:rPr>
            </w:pPr>
            <w:r>
              <w:rPr>
                <w:rFonts w:ascii="宋体" w:hAnsi="宋体" w:eastAsia="宋体" w:cs="Times New Roman"/>
                <w:bCs/>
                <w:spacing w:val="-6"/>
                <w:sz w:val="18"/>
                <w:szCs w:val="18"/>
              </w:rPr>
              <w:t xml:space="preserve">c.  </w:t>
            </w:r>
            <w:r>
              <w:rPr>
                <w:rFonts w:hint="eastAsia" w:ascii="宋体" w:hAnsi="宋体" w:eastAsia="宋体" w:cs="Times New Roman"/>
                <w:bCs/>
                <w:spacing w:val="-6"/>
                <w:sz w:val="18"/>
                <w:szCs w:val="18"/>
              </w:rPr>
              <w:t xml:space="preserve">地下水位标高距基坑底＜ </w:t>
            </w:r>
            <w:r>
              <w:rPr>
                <w:rFonts w:ascii="宋体" w:hAnsi="宋体" w:eastAsia="宋体" w:cs="Times New Roman"/>
                <w:bCs/>
                <w:spacing w:val="-6"/>
                <w:sz w:val="18"/>
                <w:szCs w:val="18"/>
              </w:rPr>
              <w:t>1000</w:t>
            </w:r>
          </w:p>
        </w:tc>
        <w:tc>
          <w:tcPr>
            <w:tcW w:w="1005" w:type="dxa"/>
            <w:tcBorders>
              <w:top w:val="single" w:color="auto" w:sz="4" w:space="0"/>
              <w:left w:val="single" w:color="auto" w:sz="4" w:space="0"/>
              <w:bottom w:val="single" w:color="auto" w:sz="4" w:space="0"/>
              <w:right w:val="single" w:color="auto" w:sz="4" w:space="0"/>
            </w:tcBorders>
            <w:vAlign w:val="center"/>
          </w:tcPr>
          <w:p w14:paraId="78840316">
            <w:pPr>
              <w:spacing w:line="240" w:lineRule="auto"/>
              <w:jc w:val="center"/>
              <w:rPr>
                <w:rFonts w:ascii="宋体" w:hAnsi="宋体" w:eastAsia="Times New Roman"/>
                <w:bCs/>
                <w:color w:val="000000"/>
                <w:spacing w:val="-6"/>
                <w:kern w:val="0"/>
                <w:sz w:val="18"/>
                <w:szCs w:val="18"/>
              </w:rPr>
            </w:pPr>
            <w:r>
              <w:rPr>
                <w:rFonts w:ascii="宋体" w:hAnsi="宋体" w:eastAsia="Times New Roman"/>
                <w:bCs/>
                <w:color w:val="000000"/>
                <w:spacing w:val="-6"/>
                <w:kern w:val="0"/>
                <w:sz w:val="18"/>
                <w:szCs w:val="18"/>
              </w:rPr>
              <w:t>500</w:t>
            </w:r>
          </w:p>
        </w:tc>
        <w:tc>
          <w:tcPr>
            <w:tcW w:w="748" w:type="dxa"/>
            <w:tcBorders>
              <w:top w:val="single" w:color="auto" w:sz="4" w:space="0"/>
              <w:left w:val="single" w:color="auto" w:sz="4" w:space="0"/>
              <w:bottom w:val="single" w:color="auto" w:sz="4" w:space="0"/>
              <w:right w:val="single" w:color="auto" w:sz="4" w:space="0"/>
            </w:tcBorders>
            <w:vAlign w:val="center"/>
          </w:tcPr>
          <w:p w14:paraId="0F4EE8D0">
            <w:pPr>
              <w:pStyle w:val="245"/>
              <w:jc w:val="center"/>
              <w:rPr>
                <w:rFonts w:ascii="宋体" w:hAnsi="宋体" w:eastAsia="宋体" w:cs="Times New Roman"/>
                <w:sz w:val="18"/>
                <w:szCs w:val="18"/>
              </w:rPr>
            </w:pPr>
          </w:p>
        </w:tc>
      </w:tr>
      <w:tr w14:paraId="59747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7" w:type="dxa"/>
            <w:vMerge w:val="restart"/>
            <w:tcBorders>
              <w:top w:val="single" w:color="auto" w:sz="4" w:space="0"/>
              <w:left w:val="single" w:color="auto" w:sz="4" w:space="0"/>
              <w:bottom w:val="single" w:color="auto" w:sz="4" w:space="0"/>
              <w:right w:val="single" w:color="auto" w:sz="4" w:space="0"/>
            </w:tcBorders>
            <w:vAlign w:val="center"/>
          </w:tcPr>
          <w:p w14:paraId="3C5A24CD">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管线位移</w:t>
            </w:r>
          </w:p>
        </w:tc>
        <w:tc>
          <w:tcPr>
            <w:tcW w:w="1724" w:type="dxa"/>
            <w:tcBorders>
              <w:top w:val="single" w:color="auto" w:sz="4" w:space="0"/>
              <w:left w:val="single" w:color="auto" w:sz="4" w:space="0"/>
              <w:bottom w:val="single" w:color="auto" w:sz="4" w:space="0"/>
              <w:right w:val="single" w:color="auto" w:sz="4" w:space="0"/>
            </w:tcBorders>
            <w:vAlign w:val="center"/>
          </w:tcPr>
          <w:p w14:paraId="51E75459">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刚性管道</w:t>
            </w:r>
            <w:r>
              <w:rPr>
                <w:rFonts w:ascii="宋体" w:hAnsi="宋体" w:eastAsia="宋体" w:cs="Times New Roman"/>
                <w:bCs/>
                <w:spacing w:val="-6"/>
                <w:sz w:val="18"/>
                <w:szCs w:val="18"/>
              </w:rPr>
              <w:t>-</w:t>
            </w:r>
            <w:r>
              <w:rPr>
                <w:rFonts w:hint="eastAsia" w:ascii="宋体" w:hAnsi="宋体" w:eastAsia="宋体" w:cs="Times New Roman"/>
                <w:bCs/>
                <w:spacing w:val="-6"/>
                <w:sz w:val="18"/>
                <w:szCs w:val="18"/>
              </w:rPr>
              <w:t>压力</w:t>
            </w:r>
          </w:p>
        </w:tc>
        <w:tc>
          <w:tcPr>
            <w:tcW w:w="3969" w:type="dxa"/>
            <w:vMerge w:val="restart"/>
            <w:tcBorders>
              <w:top w:val="single" w:color="auto" w:sz="4" w:space="0"/>
              <w:left w:val="single" w:color="auto" w:sz="4" w:space="0"/>
              <w:bottom w:val="single" w:color="auto" w:sz="4" w:space="0"/>
              <w:right w:val="single" w:color="auto" w:sz="4" w:space="0"/>
            </w:tcBorders>
            <w:vAlign w:val="center"/>
          </w:tcPr>
          <w:p w14:paraId="3721EDA2">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 xml:space="preserve">无特殊要求时按 </w:t>
            </w:r>
            <w:r>
              <w:rPr>
                <w:rFonts w:ascii="宋体" w:hAnsi="宋体" w:eastAsia="宋体" w:cs="Times New Roman"/>
                <w:bCs/>
                <w:spacing w:val="-6"/>
                <w:sz w:val="18"/>
                <w:szCs w:val="18"/>
              </w:rPr>
              <w:t>20</w:t>
            </w:r>
          </w:p>
        </w:tc>
        <w:tc>
          <w:tcPr>
            <w:tcW w:w="1005" w:type="dxa"/>
            <w:vMerge w:val="restart"/>
            <w:tcBorders>
              <w:top w:val="single" w:color="auto" w:sz="4" w:space="0"/>
              <w:left w:val="single" w:color="auto" w:sz="4" w:space="0"/>
              <w:bottom w:val="single" w:color="auto" w:sz="4" w:space="0"/>
              <w:right w:val="single" w:color="auto" w:sz="4" w:space="0"/>
            </w:tcBorders>
            <w:vAlign w:val="center"/>
          </w:tcPr>
          <w:p w14:paraId="0CDC3936">
            <w:pPr>
              <w:spacing w:line="240" w:lineRule="auto"/>
              <w:jc w:val="center"/>
              <w:rPr>
                <w:rFonts w:ascii="宋体" w:hAnsi="宋体" w:eastAsia="Times New Roman"/>
                <w:bCs/>
                <w:color w:val="000000"/>
                <w:spacing w:val="-6"/>
                <w:kern w:val="0"/>
                <w:sz w:val="18"/>
                <w:szCs w:val="18"/>
              </w:rPr>
            </w:pPr>
            <w:r>
              <w:rPr>
                <w:rFonts w:ascii="宋体" w:hAnsi="宋体" w:eastAsia="Times New Roman"/>
                <w:bCs/>
                <w:color w:val="000000"/>
                <w:spacing w:val="-6"/>
                <w:kern w:val="0"/>
                <w:sz w:val="18"/>
                <w:szCs w:val="18"/>
              </w:rPr>
              <w:t>2</w:t>
            </w:r>
          </w:p>
        </w:tc>
        <w:tc>
          <w:tcPr>
            <w:tcW w:w="748" w:type="dxa"/>
            <w:vMerge w:val="restart"/>
            <w:tcBorders>
              <w:top w:val="single" w:color="auto" w:sz="4" w:space="0"/>
              <w:left w:val="single" w:color="auto" w:sz="4" w:space="0"/>
              <w:bottom w:val="single" w:color="auto" w:sz="4" w:space="0"/>
              <w:right w:val="single" w:color="auto" w:sz="4" w:space="0"/>
            </w:tcBorders>
            <w:vAlign w:val="center"/>
          </w:tcPr>
          <w:p w14:paraId="6834E890">
            <w:pPr>
              <w:pStyle w:val="245"/>
              <w:jc w:val="center"/>
              <w:rPr>
                <w:rFonts w:ascii="宋体" w:hAnsi="宋体" w:eastAsia="宋体" w:cs="Times New Roman"/>
                <w:sz w:val="18"/>
                <w:szCs w:val="18"/>
              </w:rPr>
            </w:pPr>
            <w:r>
              <w:rPr>
                <w:rFonts w:hint="eastAsia" w:ascii="宋体" w:hAnsi="宋体" w:eastAsia="宋体" w:cs="Times New Roman"/>
                <w:sz w:val="18"/>
                <w:szCs w:val="18"/>
              </w:rPr>
              <w:t>直接观测点数据</w:t>
            </w:r>
          </w:p>
        </w:tc>
      </w:tr>
      <w:tr w14:paraId="4F64D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7" w:type="dxa"/>
            <w:vMerge w:val="continue"/>
            <w:tcBorders>
              <w:top w:val="single" w:color="auto" w:sz="4" w:space="0"/>
              <w:left w:val="single" w:color="auto" w:sz="4" w:space="0"/>
              <w:bottom w:val="single" w:color="auto" w:sz="4" w:space="0"/>
              <w:right w:val="single" w:color="auto" w:sz="4" w:space="0"/>
            </w:tcBorders>
            <w:vAlign w:val="center"/>
          </w:tcPr>
          <w:p w14:paraId="0089D962">
            <w:pPr>
              <w:pStyle w:val="245"/>
              <w:jc w:val="center"/>
              <w:rPr>
                <w:rFonts w:ascii="宋体" w:hAnsi="宋体" w:eastAsia="宋体" w:cs="Times New Roman"/>
                <w:bCs/>
                <w:spacing w:val="-6"/>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14:paraId="178C03D2">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刚性管道</w:t>
            </w:r>
            <w:r>
              <w:rPr>
                <w:rFonts w:ascii="宋体" w:hAnsi="宋体" w:eastAsia="宋体" w:cs="Times New Roman"/>
                <w:bCs/>
                <w:spacing w:val="-6"/>
                <w:sz w:val="18"/>
                <w:szCs w:val="18"/>
              </w:rPr>
              <w:t>-</w:t>
            </w:r>
            <w:r>
              <w:rPr>
                <w:rFonts w:hint="eastAsia" w:ascii="宋体" w:hAnsi="宋体" w:eastAsia="宋体" w:cs="Times New Roman"/>
                <w:bCs/>
                <w:spacing w:val="-6"/>
                <w:sz w:val="18"/>
                <w:szCs w:val="18"/>
              </w:rPr>
              <w:t>非压力</w:t>
            </w:r>
          </w:p>
        </w:tc>
        <w:tc>
          <w:tcPr>
            <w:tcW w:w="3969" w:type="dxa"/>
            <w:vMerge w:val="continue"/>
            <w:tcBorders>
              <w:top w:val="single" w:color="auto" w:sz="4" w:space="0"/>
              <w:left w:val="single" w:color="auto" w:sz="4" w:space="0"/>
              <w:bottom w:val="single" w:color="auto" w:sz="4" w:space="0"/>
              <w:right w:val="single" w:color="auto" w:sz="4" w:space="0"/>
            </w:tcBorders>
            <w:vAlign w:val="center"/>
          </w:tcPr>
          <w:p w14:paraId="338ABD10">
            <w:pPr>
              <w:pStyle w:val="245"/>
              <w:jc w:val="center"/>
              <w:rPr>
                <w:rFonts w:ascii="宋体" w:hAnsi="宋体" w:eastAsia="宋体" w:cs="Times New Roman"/>
                <w:bCs/>
                <w:spacing w:val="-6"/>
                <w:sz w:val="18"/>
                <w:szCs w:val="18"/>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4570103B">
            <w:pPr>
              <w:pStyle w:val="245"/>
              <w:jc w:val="center"/>
              <w:rPr>
                <w:rFonts w:ascii="宋体" w:hAnsi="宋体" w:eastAsia="宋体" w:cs="Times New Roman"/>
                <w:bCs/>
                <w:spacing w:val="-6"/>
                <w:sz w:val="18"/>
                <w:szCs w:val="18"/>
              </w:rPr>
            </w:pPr>
          </w:p>
        </w:tc>
        <w:tc>
          <w:tcPr>
            <w:tcW w:w="748" w:type="dxa"/>
            <w:vMerge w:val="continue"/>
            <w:tcBorders>
              <w:top w:val="single" w:color="auto" w:sz="4" w:space="0"/>
              <w:left w:val="single" w:color="auto" w:sz="4" w:space="0"/>
              <w:bottom w:val="single" w:color="auto" w:sz="4" w:space="0"/>
              <w:right w:val="single" w:color="auto" w:sz="4" w:space="0"/>
            </w:tcBorders>
            <w:vAlign w:val="center"/>
          </w:tcPr>
          <w:p w14:paraId="7610275F">
            <w:pPr>
              <w:pStyle w:val="245"/>
              <w:jc w:val="center"/>
              <w:rPr>
                <w:rFonts w:ascii="宋体" w:hAnsi="宋体" w:eastAsia="宋体" w:cs="Times New Roman"/>
                <w:sz w:val="18"/>
                <w:szCs w:val="18"/>
              </w:rPr>
            </w:pPr>
          </w:p>
        </w:tc>
      </w:tr>
      <w:tr w14:paraId="523610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7" w:type="dxa"/>
            <w:vMerge w:val="continue"/>
            <w:tcBorders>
              <w:top w:val="single" w:color="auto" w:sz="4" w:space="0"/>
              <w:left w:val="single" w:color="auto" w:sz="4" w:space="0"/>
              <w:bottom w:val="single" w:color="auto" w:sz="4" w:space="0"/>
              <w:right w:val="single" w:color="auto" w:sz="4" w:space="0"/>
            </w:tcBorders>
            <w:vAlign w:val="center"/>
          </w:tcPr>
          <w:p w14:paraId="6A177EF4">
            <w:pPr>
              <w:pStyle w:val="245"/>
              <w:jc w:val="center"/>
              <w:rPr>
                <w:rFonts w:ascii="宋体" w:hAnsi="宋体" w:eastAsia="宋体" w:cs="Times New Roman"/>
                <w:bCs/>
                <w:spacing w:val="-6"/>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14:paraId="5A80BA2F">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柔性管线</w:t>
            </w:r>
          </w:p>
        </w:tc>
        <w:tc>
          <w:tcPr>
            <w:tcW w:w="3969" w:type="dxa"/>
            <w:vMerge w:val="restart"/>
            <w:tcBorders>
              <w:top w:val="single" w:color="auto" w:sz="4" w:space="0"/>
              <w:left w:val="single" w:color="auto" w:sz="4" w:space="0"/>
              <w:bottom w:val="single" w:color="auto" w:sz="4" w:space="0"/>
              <w:right w:val="single" w:color="auto" w:sz="4" w:space="0"/>
            </w:tcBorders>
            <w:vAlign w:val="center"/>
          </w:tcPr>
          <w:p w14:paraId="7D8D5ACC">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 xml:space="preserve">无特殊要求时按 </w:t>
            </w:r>
            <w:r>
              <w:rPr>
                <w:rFonts w:ascii="宋体" w:hAnsi="宋体" w:eastAsia="宋体" w:cs="Times New Roman"/>
                <w:bCs/>
                <w:spacing w:val="-6"/>
                <w:sz w:val="18"/>
                <w:szCs w:val="18"/>
              </w:rPr>
              <w:t>30</w:t>
            </w:r>
          </w:p>
        </w:tc>
        <w:tc>
          <w:tcPr>
            <w:tcW w:w="1005" w:type="dxa"/>
            <w:vMerge w:val="restart"/>
            <w:tcBorders>
              <w:top w:val="single" w:color="auto" w:sz="4" w:space="0"/>
              <w:left w:val="single" w:color="auto" w:sz="4" w:space="0"/>
              <w:bottom w:val="single" w:color="auto" w:sz="4" w:space="0"/>
              <w:right w:val="single" w:color="auto" w:sz="4" w:space="0"/>
            </w:tcBorders>
            <w:vAlign w:val="center"/>
          </w:tcPr>
          <w:p w14:paraId="7DC0770F">
            <w:pPr>
              <w:spacing w:line="240" w:lineRule="auto"/>
              <w:jc w:val="center"/>
              <w:rPr>
                <w:rFonts w:ascii="宋体" w:hAnsi="宋体" w:eastAsia="Times New Roman"/>
                <w:bCs/>
                <w:color w:val="000000"/>
                <w:spacing w:val="-6"/>
                <w:kern w:val="0"/>
                <w:sz w:val="18"/>
                <w:szCs w:val="18"/>
              </w:rPr>
            </w:pPr>
            <w:r>
              <w:rPr>
                <w:rFonts w:ascii="宋体" w:hAnsi="宋体" w:eastAsia="Times New Roman"/>
                <w:bCs/>
                <w:color w:val="000000"/>
                <w:spacing w:val="-6"/>
                <w:kern w:val="0"/>
                <w:sz w:val="18"/>
                <w:szCs w:val="18"/>
              </w:rPr>
              <w:t>3</w:t>
            </w:r>
          </w:p>
        </w:tc>
        <w:tc>
          <w:tcPr>
            <w:tcW w:w="748" w:type="dxa"/>
            <w:vMerge w:val="continue"/>
            <w:tcBorders>
              <w:top w:val="single" w:color="auto" w:sz="4" w:space="0"/>
              <w:left w:val="single" w:color="auto" w:sz="4" w:space="0"/>
              <w:bottom w:val="single" w:color="auto" w:sz="4" w:space="0"/>
              <w:right w:val="single" w:color="auto" w:sz="4" w:space="0"/>
            </w:tcBorders>
            <w:vAlign w:val="center"/>
          </w:tcPr>
          <w:p w14:paraId="43F24A4F">
            <w:pPr>
              <w:pStyle w:val="245"/>
              <w:jc w:val="center"/>
              <w:rPr>
                <w:rFonts w:ascii="宋体" w:hAnsi="宋体" w:eastAsia="宋体" w:cs="Times New Roman"/>
                <w:sz w:val="18"/>
                <w:szCs w:val="18"/>
              </w:rPr>
            </w:pPr>
          </w:p>
        </w:tc>
      </w:tr>
      <w:tr w14:paraId="3B07F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691" w:type="dxa"/>
            <w:gridSpan w:val="2"/>
            <w:tcBorders>
              <w:top w:val="single" w:color="auto" w:sz="4" w:space="0"/>
              <w:left w:val="single" w:color="auto" w:sz="4" w:space="0"/>
              <w:bottom w:val="single" w:color="auto" w:sz="4" w:space="0"/>
              <w:right w:val="single" w:color="auto" w:sz="4" w:space="0"/>
            </w:tcBorders>
            <w:vAlign w:val="center"/>
          </w:tcPr>
          <w:p w14:paraId="05A55B58">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周边道路沉降</w:t>
            </w:r>
          </w:p>
        </w:tc>
        <w:tc>
          <w:tcPr>
            <w:tcW w:w="3969" w:type="dxa"/>
            <w:vMerge w:val="continue"/>
            <w:tcBorders>
              <w:top w:val="single" w:color="auto" w:sz="4" w:space="0"/>
              <w:left w:val="single" w:color="auto" w:sz="4" w:space="0"/>
              <w:bottom w:val="single" w:color="auto" w:sz="4" w:space="0"/>
              <w:right w:val="single" w:color="auto" w:sz="4" w:space="0"/>
            </w:tcBorders>
            <w:vAlign w:val="center"/>
          </w:tcPr>
          <w:p w14:paraId="0457486F">
            <w:pPr>
              <w:pStyle w:val="245"/>
              <w:jc w:val="center"/>
              <w:rPr>
                <w:rFonts w:ascii="宋体" w:hAnsi="宋体" w:eastAsia="宋体" w:cs="Times New Roman"/>
                <w:bCs/>
                <w:spacing w:val="-6"/>
                <w:sz w:val="18"/>
                <w:szCs w:val="18"/>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30F0D9CA">
            <w:pPr>
              <w:pStyle w:val="245"/>
              <w:jc w:val="center"/>
              <w:rPr>
                <w:rFonts w:ascii="宋体" w:hAnsi="宋体" w:eastAsia="宋体" w:cs="Times New Roman"/>
                <w:bCs/>
                <w:spacing w:val="-6"/>
                <w:sz w:val="18"/>
                <w:szCs w:val="18"/>
              </w:rPr>
            </w:pPr>
          </w:p>
        </w:tc>
        <w:tc>
          <w:tcPr>
            <w:tcW w:w="748" w:type="dxa"/>
            <w:vMerge w:val="continue"/>
            <w:tcBorders>
              <w:top w:val="single" w:color="auto" w:sz="4" w:space="0"/>
              <w:left w:val="single" w:color="auto" w:sz="4" w:space="0"/>
              <w:bottom w:val="single" w:color="auto" w:sz="4" w:space="0"/>
              <w:right w:val="single" w:color="auto" w:sz="4" w:space="0"/>
            </w:tcBorders>
            <w:vAlign w:val="center"/>
          </w:tcPr>
          <w:p w14:paraId="4145CD7B">
            <w:pPr>
              <w:pStyle w:val="245"/>
              <w:jc w:val="center"/>
              <w:rPr>
                <w:rFonts w:ascii="宋体" w:hAnsi="宋体" w:eastAsia="宋体" w:cs="Times New Roman"/>
                <w:sz w:val="18"/>
                <w:szCs w:val="18"/>
              </w:rPr>
            </w:pPr>
          </w:p>
        </w:tc>
      </w:tr>
      <w:tr w14:paraId="323A64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691" w:type="dxa"/>
            <w:gridSpan w:val="2"/>
            <w:tcBorders>
              <w:top w:val="single" w:color="auto" w:sz="4" w:space="0"/>
              <w:left w:val="single" w:color="auto" w:sz="4" w:space="0"/>
              <w:bottom w:val="single" w:color="auto" w:sz="4" w:space="0"/>
              <w:right w:val="single" w:color="auto" w:sz="4" w:space="0"/>
            </w:tcBorders>
            <w:vAlign w:val="center"/>
          </w:tcPr>
          <w:p w14:paraId="2D20E4ED">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周边建（构）筑物</w:t>
            </w:r>
          </w:p>
        </w:tc>
        <w:tc>
          <w:tcPr>
            <w:tcW w:w="3969" w:type="dxa"/>
            <w:tcBorders>
              <w:top w:val="single" w:color="auto" w:sz="4" w:space="0"/>
              <w:left w:val="single" w:color="auto" w:sz="4" w:space="0"/>
              <w:bottom w:val="single" w:color="auto" w:sz="4" w:space="0"/>
              <w:right w:val="single" w:color="auto" w:sz="4" w:space="0"/>
            </w:tcBorders>
            <w:vAlign w:val="center"/>
          </w:tcPr>
          <w:p w14:paraId="332EFC25">
            <w:pPr>
              <w:pStyle w:val="245"/>
              <w:rPr>
                <w:rFonts w:ascii="宋体" w:hAnsi="宋体" w:eastAsia="宋体" w:cs="Times New Roman"/>
                <w:bCs/>
                <w:spacing w:val="-6"/>
                <w:sz w:val="18"/>
                <w:szCs w:val="18"/>
              </w:rPr>
            </w:pPr>
            <w:r>
              <w:rPr>
                <w:rFonts w:ascii="宋体" w:hAnsi="宋体" w:eastAsia="宋体" w:cs="Times New Roman"/>
                <w:bCs/>
                <w:spacing w:val="-6"/>
                <w:sz w:val="18"/>
                <w:szCs w:val="18"/>
              </w:rPr>
              <w:t xml:space="preserve">a. </w:t>
            </w:r>
            <w:r>
              <w:rPr>
                <w:rFonts w:hint="eastAsia" w:ascii="宋体" w:hAnsi="宋体" w:eastAsia="宋体" w:cs="Times New Roman"/>
                <w:bCs/>
                <w:spacing w:val="-6"/>
                <w:sz w:val="18"/>
                <w:szCs w:val="18"/>
              </w:rPr>
              <w:t xml:space="preserve">竖向位移：小于建筑物地基变形 允许值，无特殊要求时按 </w:t>
            </w:r>
            <w:r>
              <w:rPr>
                <w:rFonts w:ascii="宋体" w:hAnsi="宋体" w:eastAsia="宋体" w:cs="Times New Roman"/>
                <w:bCs/>
                <w:spacing w:val="-6"/>
                <w:sz w:val="18"/>
                <w:szCs w:val="18"/>
              </w:rPr>
              <w:t>20</w:t>
            </w:r>
          </w:p>
          <w:p w14:paraId="15DB4679">
            <w:pPr>
              <w:pStyle w:val="245"/>
              <w:rPr>
                <w:rFonts w:ascii="宋体" w:hAnsi="宋体" w:eastAsia="宋体" w:cs="Times New Roman"/>
                <w:bCs/>
                <w:spacing w:val="-6"/>
                <w:sz w:val="18"/>
                <w:szCs w:val="18"/>
              </w:rPr>
            </w:pPr>
            <w:r>
              <w:rPr>
                <w:rFonts w:ascii="宋体" w:hAnsi="宋体" w:eastAsia="宋体" w:cs="Times New Roman"/>
                <w:bCs/>
                <w:spacing w:val="-6"/>
                <w:sz w:val="18"/>
                <w:szCs w:val="18"/>
              </w:rPr>
              <w:t xml:space="preserve">b. </w:t>
            </w:r>
            <w:r>
              <w:rPr>
                <w:rFonts w:hint="eastAsia" w:ascii="宋体" w:hAnsi="宋体" w:eastAsia="宋体" w:cs="Times New Roman"/>
                <w:bCs/>
                <w:spacing w:val="-6"/>
                <w:sz w:val="18"/>
                <w:szCs w:val="18"/>
              </w:rPr>
              <w:t xml:space="preserve">建 筑 整体 倾 斜 度 累 计 值 达 到 </w:t>
            </w:r>
            <w:r>
              <w:rPr>
                <w:rFonts w:ascii="宋体" w:hAnsi="宋体" w:eastAsia="宋体" w:cs="Times New Roman"/>
                <w:bCs/>
                <w:spacing w:val="-6"/>
                <w:sz w:val="18"/>
                <w:szCs w:val="18"/>
              </w:rPr>
              <w:t>2/1000</w:t>
            </w:r>
          </w:p>
          <w:p w14:paraId="2DE8E77D">
            <w:pPr>
              <w:pStyle w:val="245"/>
              <w:rPr>
                <w:rFonts w:ascii="宋体" w:hAnsi="宋体" w:eastAsia="宋体" w:cs="Times New Roman"/>
                <w:bCs/>
                <w:spacing w:val="-6"/>
                <w:sz w:val="18"/>
                <w:szCs w:val="18"/>
              </w:rPr>
            </w:pPr>
            <w:r>
              <w:rPr>
                <w:rFonts w:ascii="宋体" w:hAnsi="宋体" w:eastAsia="宋体" w:cs="Times New Roman"/>
                <w:bCs/>
                <w:spacing w:val="-6"/>
                <w:sz w:val="18"/>
                <w:szCs w:val="18"/>
              </w:rPr>
              <w:t xml:space="preserve">c. </w:t>
            </w:r>
            <w:r>
              <w:rPr>
                <w:rFonts w:hint="eastAsia" w:ascii="宋体" w:hAnsi="宋体" w:eastAsia="宋体" w:cs="Times New Roman"/>
                <w:bCs/>
                <w:spacing w:val="-6"/>
                <w:sz w:val="18"/>
                <w:szCs w:val="18"/>
              </w:rPr>
              <w:t xml:space="preserve">倾斜速率连续 </w:t>
            </w:r>
            <w:r>
              <w:rPr>
                <w:rFonts w:ascii="宋体" w:hAnsi="宋体" w:eastAsia="宋体" w:cs="Times New Roman"/>
                <w:bCs/>
                <w:spacing w:val="-6"/>
                <w:sz w:val="18"/>
                <w:szCs w:val="18"/>
              </w:rPr>
              <w:t xml:space="preserve">3d </w:t>
            </w:r>
            <w:r>
              <w:rPr>
                <w:rFonts w:hint="eastAsia" w:ascii="宋体" w:hAnsi="宋体" w:eastAsia="宋体" w:cs="Times New Roman"/>
                <w:bCs/>
                <w:spacing w:val="-6"/>
                <w:sz w:val="18"/>
                <w:szCs w:val="18"/>
              </w:rPr>
              <w:t xml:space="preserve">大于 </w:t>
            </w:r>
            <w:r>
              <w:rPr>
                <w:rFonts w:ascii="宋体" w:hAnsi="宋体" w:eastAsia="宋体" w:cs="Times New Roman"/>
                <w:bCs/>
                <w:spacing w:val="-6"/>
                <w:sz w:val="18"/>
                <w:szCs w:val="18"/>
              </w:rPr>
              <w:t xml:space="preserve">0.0001H/d </w:t>
            </w:r>
            <w:r>
              <w:rPr>
                <w:rFonts w:hint="eastAsia" w:ascii="宋体" w:hAnsi="宋体" w:eastAsia="宋体" w:cs="Times New Roman"/>
                <w:bCs/>
                <w:spacing w:val="-6"/>
                <w:sz w:val="18"/>
                <w:szCs w:val="18"/>
              </w:rPr>
              <w:t>（</w:t>
            </w:r>
            <w:r>
              <w:rPr>
                <w:rFonts w:ascii="宋体" w:hAnsi="宋体" w:eastAsia="宋体" w:cs="Times New Roman"/>
                <w:bCs/>
                <w:spacing w:val="-6"/>
                <w:sz w:val="18"/>
                <w:szCs w:val="18"/>
              </w:rPr>
              <w:t xml:space="preserve">H </w:t>
            </w:r>
            <w:r>
              <w:rPr>
                <w:rFonts w:hint="eastAsia" w:ascii="宋体" w:hAnsi="宋体" w:eastAsia="宋体" w:cs="Times New Roman"/>
                <w:bCs/>
                <w:spacing w:val="-6"/>
                <w:sz w:val="18"/>
                <w:szCs w:val="18"/>
              </w:rPr>
              <w:t>为建筑承重结构高度）</w:t>
            </w:r>
          </w:p>
        </w:tc>
        <w:tc>
          <w:tcPr>
            <w:tcW w:w="1005" w:type="dxa"/>
            <w:tcBorders>
              <w:top w:val="single" w:color="auto" w:sz="4" w:space="0"/>
              <w:left w:val="single" w:color="auto" w:sz="4" w:space="0"/>
              <w:bottom w:val="single" w:color="auto" w:sz="4" w:space="0"/>
              <w:right w:val="single" w:color="auto" w:sz="4" w:space="0"/>
            </w:tcBorders>
            <w:vAlign w:val="center"/>
          </w:tcPr>
          <w:p w14:paraId="2BC886B6">
            <w:pPr>
              <w:spacing w:line="240" w:lineRule="auto"/>
              <w:jc w:val="center"/>
              <w:rPr>
                <w:rFonts w:ascii="宋体" w:hAnsi="宋体" w:eastAsia="Times New Roman"/>
                <w:bCs/>
                <w:color w:val="000000"/>
                <w:spacing w:val="-6"/>
                <w:kern w:val="0"/>
                <w:sz w:val="18"/>
                <w:szCs w:val="18"/>
              </w:rPr>
            </w:pPr>
            <w:r>
              <w:rPr>
                <w:rFonts w:ascii="宋体" w:hAnsi="宋体" w:eastAsia="Times New Roman"/>
                <w:bCs/>
                <w:color w:val="000000"/>
                <w:spacing w:val="-6"/>
                <w:kern w:val="0"/>
                <w:sz w:val="18"/>
                <w:szCs w:val="18"/>
              </w:rPr>
              <w:t>3</w:t>
            </w:r>
          </w:p>
        </w:tc>
        <w:tc>
          <w:tcPr>
            <w:tcW w:w="748" w:type="dxa"/>
            <w:tcBorders>
              <w:top w:val="single" w:color="auto" w:sz="4" w:space="0"/>
              <w:left w:val="single" w:color="auto" w:sz="4" w:space="0"/>
              <w:bottom w:val="single" w:color="auto" w:sz="4" w:space="0"/>
              <w:right w:val="single" w:color="auto" w:sz="4" w:space="0"/>
            </w:tcBorders>
            <w:vAlign w:val="center"/>
          </w:tcPr>
          <w:p w14:paraId="067A044D">
            <w:pPr>
              <w:pStyle w:val="245"/>
              <w:jc w:val="center"/>
              <w:rPr>
                <w:rFonts w:ascii="宋体" w:hAnsi="宋体" w:eastAsia="宋体" w:cs="Times New Roman"/>
                <w:sz w:val="18"/>
                <w:szCs w:val="18"/>
              </w:rPr>
            </w:pPr>
          </w:p>
        </w:tc>
      </w:tr>
      <w:tr w14:paraId="36949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7" w:type="dxa"/>
            <w:vMerge w:val="restart"/>
            <w:tcBorders>
              <w:top w:val="single" w:color="auto" w:sz="4" w:space="0"/>
              <w:left w:val="single" w:color="auto" w:sz="4" w:space="0"/>
              <w:bottom w:val="single" w:color="auto" w:sz="4" w:space="0"/>
              <w:right w:val="single" w:color="auto" w:sz="4" w:space="0"/>
            </w:tcBorders>
            <w:vAlign w:val="center"/>
          </w:tcPr>
          <w:p w14:paraId="1134377F">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裂缝宽度</w:t>
            </w:r>
          </w:p>
        </w:tc>
        <w:tc>
          <w:tcPr>
            <w:tcW w:w="1724" w:type="dxa"/>
            <w:tcBorders>
              <w:top w:val="single" w:color="auto" w:sz="4" w:space="0"/>
              <w:left w:val="single" w:color="auto" w:sz="4" w:space="0"/>
              <w:bottom w:val="single" w:color="auto" w:sz="4" w:space="0"/>
              <w:right w:val="single" w:color="auto" w:sz="4" w:space="0"/>
            </w:tcBorders>
            <w:vAlign w:val="center"/>
          </w:tcPr>
          <w:p w14:paraId="02964573">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建筑结构性 裂缝</w:t>
            </w:r>
          </w:p>
        </w:tc>
        <w:tc>
          <w:tcPr>
            <w:tcW w:w="3969" w:type="dxa"/>
            <w:tcBorders>
              <w:top w:val="single" w:color="auto" w:sz="4" w:space="0"/>
              <w:left w:val="single" w:color="auto" w:sz="4" w:space="0"/>
              <w:bottom w:val="single" w:color="auto" w:sz="4" w:space="0"/>
              <w:right w:val="single" w:color="auto" w:sz="4" w:space="0"/>
            </w:tcBorders>
            <w:vAlign w:val="center"/>
          </w:tcPr>
          <w:p w14:paraId="7049D201">
            <w:pPr>
              <w:pStyle w:val="245"/>
              <w:rPr>
                <w:rFonts w:ascii="宋体" w:hAnsi="宋体" w:eastAsia="宋体" w:cs="Times New Roman"/>
                <w:bCs/>
                <w:spacing w:val="-6"/>
                <w:sz w:val="18"/>
                <w:szCs w:val="18"/>
              </w:rPr>
            </w:pPr>
            <w:r>
              <w:rPr>
                <w:rFonts w:hint="eastAsia" w:ascii="宋体" w:hAnsi="宋体" w:eastAsia="宋体" w:cs="Times New Roman"/>
                <w:bCs/>
                <w:spacing w:val="-6"/>
                <w:sz w:val="18"/>
                <w:szCs w:val="18"/>
              </w:rPr>
              <w:t>按设计及产权单位要求，无特殊要求时：</w:t>
            </w:r>
          </w:p>
          <w:p w14:paraId="01AC63C9">
            <w:pPr>
              <w:pStyle w:val="245"/>
              <w:rPr>
                <w:rFonts w:ascii="宋体" w:hAnsi="宋体" w:eastAsia="宋体" w:cs="Times New Roman"/>
                <w:bCs/>
                <w:spacing w:val="-6"/>
                <w:sz w:val="18"/>
                <w:szCs w:val="18"/>
              </w:rPr>
            </w:pPr>
            <w:r>
              <w:rPr>
                <w:rFonts w:ascii="宋体" w:hAnsi="宋体" w:eastAsia="宋体" w:cs="Times New Roman"/>
                <w:bCs/>
                <w:spacing w:val="-6"/>
                <w:sz w:val="18"/>
                <w:szCs w:val="18"/>
              </w:rPr>
              <w:t>1.5~3</w:t>
            </w:r>
            <w:r>
              <w:rPr>
                <w:rFonts w:hint="eastAsia" w:ascii="宋体" w:hAnsi="宋体" w:eastAsia="宋体" w:cs="Times New Roman"/>
                <w:bCs/>
                <w:spacing w:val="-6"/>
                <w:sz w:val="18"/>
                <w:szCs w:val="18"/>
              </w:rPr>
              <w:t>（既有裂缝）</w:t>
            </w:r>
          </w:p>
          <w:p w14:paraId="71ACD394">
            <w:pPr>
              <w:pStyle w:val="245"/>
              <w:rPr>
                <w:rFonts w:ascii="宋体" w:hAnsi="宋体" w:eastAsia="宋体" w:cs="Times New Roman"/>
                <w:bCs/>
                <w:spacing w:val="-6"/>
                <w:sz w:val="18"/>
                <w:szCs w:val="18"/>
              </w:rPr>
            </w:pPr>
            <w:r>
              <w:rPr>
                <w:rFonts w:ascii="宋体" w:hAnsi="宋体" w:eastAsia="宋体" w:cs="Times New Roman"/>
                <w:bCs/>
                <w:spacing w:val="-6"/>
                <w:sz w:val="18"/>
                <w:szCs w:val="18"/>
              </w:rPr>
              <w:t>0.2~0.25</w:t>
            </w:r>
            <w:r>
              <w:rPr>
                <w:rFonts w:hint="eastAsia" w:ascii="宋体" w:hAnsi="宋体" w:eastAsia="宋体" w:cs="Times New Roman"/>
                <w:bCs/>
                <w:spacing w:val="-6"/>
                <w:sz w:val="18"/>
                <w:szCs w:val="18"/>
              </w:rPr>
              <w:t>（新增裂缝）</w:t>
            </w:r>
          </w:p>
        </w:tc>
        <w:tc>
          <w:tcPr>
            <w:tcW w:w="1005" w:type="dxa"/>
            <w:tcBorders>
              <w:top w:val="single" w:color="auto" w:sz="4" w:space="0"/>
              <w:left w:val="single" w:color="auto" w:sz="4" w:space="0"/>
              <w:bottom w:val="single" w:color="auto" w:sz="4" w:space="0"/>
              <w:right w:val="single" w:color="auto" w:sz="4" w:space="0"/>
            </w:tcBorders>
            <w:vAlign w:val="center"/>
          </w:tcPr>
          <w:p w14:paraId="2CEF34AD">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持续发展</w:t>
            </w:r>
          </w:p>
        </w:tc>
        <w:tc>
          <w:tcPr>
            <w:tcW w:w="748" w:type="dxa"/>
            <w:tcBorders>
              <w:top w:val="single" w:color="auto" w:sz="4" w:space="0"/>
              <w:left w:val="single" w:color="auto" w:sz="4" w:space="0"/>
              <w:bottom w:val="single" w:color="auto" w:sz="4" w:space="0"/>
              <w:right w:val="single" w:color="auto" w:sz="4" w:space="0"/>
            </w:tcBorders>
            <w:vAlign w:val="center"/>
          </w:tcPr>
          <w:p w14:paraId="43F28AAA">
            <w:pPr>
              <w:pStyle w:val="245"/>
              <w:jc w:val="center"/>
              <w:rPr>
                <w:rFonts w:ascii="宋体" w:hAnsi="宋体" w:eastAsia="宋体" w:cs="Times New Roman"/>
                <w:sz w:val="18"/>
                <w:szCs w:val="18"/>
              </w:rPr>
            </w:pPr>
          </w:p>
        </w:tc>
      </w:tr>
      <w:tr w14:paraId="7F7E5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7" w:type="dxa"/>
            <w:vMerge w:val="continue"/>
            <w:tcBorders>
              <w:top w:val="single" w:color="auto" w:sz="4" w:space="0"/>
              <w:left w:val="single" w:color="auto" w:sz="4" w:space="0"/>
              <w:bottom w:val="single" w:color="auto" w:sz="4" w:space="0"/>
              <w:right w:val="single" w:color="auto" w:sz="4" w:space="0"/>
            </w:tcBorders>
            <w:vAlign w:val="center"/>
          </w:tcPr>
          <w:p w14:paraId="06A2B440">
            <w:pPr>
              <w:pStyle w:val="245"/>
              <w:jc w:val="center"/>
              <w:rPr>
                <w:rFonts w:ascii="宋体" w:hAnsi="宋体" w:eastAsia="宋体" w:cs="Times New Roman"/>
                <w:bCs/>
                <w:spacing w:val="-6"/>
                <w:sz w:val="18"/>
                <w:szCs w:val="18"/>
              </w:rPr>
            </w:pPr>
          </w:p>
        </w:tc>
        <w:tc>
          <w:tcPr>
            <w:tcW w:w="1724" w:type="dxa"/>
            <w:tcBorders>
              <w:top w:val="single" w:color="auto" w:sz="4" w:space="0"/>
              <w:left w:val="single" w:color="auto" w:sz="4" w:space="0"/>
              <w:bottom w:val="single" w:color="auto" w:sz="4" w:space="0"/>
              <w:right w:val="single" w:color="auto" w:sz="4" w:space="0"/>
            </w:tcBorders>
            <w:vAlign w:val="center"/>
          </w:tcPr>
          <w:p w14:paraId="14719891">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地表裂缝</w:t>
            </w:r>
          </w:p>
        </w:tc>
        <w:tc>
          <w:tcPr>
            <w:tcW w:w="3969" w:type="dxa"/>
            <w:tcBorders>
              <w:top w:val="single" w:color="auto" w:sz="4" w:space="0"/>
              <w:left w:val="single" w:color="auto" w:sz="4" w:space="0"/>
              <w:bottom w:val="single" w:color="auto" w:sz="4" w:space="0"/>
              <w:right w:val="single" w:color="auto" w:sz="4" w:space="0"/>
            </w:tcBorders>
            <w:vAlign w:val="center"/>
          </w:tcPr>
          <w:p w14:paraId="5529FE46">
            <w:pPr>
              <w:pStyle w:val="245"/>
              <w:rPr>
                <w:rFonts w:ascii="宋体" w:hAnsi="宋体" w:eastAsia="宋体" w:cs="Times New Roman"/>
                <w:bCs/>
                <w:spacing w:val="-6"/>
                <w:sz w:val="18"/>
                <w:szCs w:val="18"/>
              </w:rPr>
            </w:pPr>
            <w:r>
              <w:rPr>
                <w:rFonts w:hint="eastAsia" w:ascii="宋体" w:hAnsi="宋体" w:eastAsia="宋体" w:cs="Times New Roman"/>
                <w:bCs/>
                <w:spacing w:val="-6"/>
                <w:sz w:val="18"/>
                <w:szCs w:val="18"/>
              </w:rPr>
              <w:t>按产权单位要求，无特殊要求时：</w:t>
            </w:r>
          </w:p>
          <w:p w14:paraId="66940C9D">
            <w:pPr>
              <w:pStyle w:val="245"/>
              <w:rPr>
                <w:rFonts w:ascii="宋体" w:hAnsi="宋体" w:eastAsia="宋体" w:cs="Times New Roman"/>
                <w:bCs/>
                <w:spacing w:val="-6"/>
                <w:sz w:val="18"/>
                <w:szCs w:val="18"/>
              </w:rPr>
            </w:pPr>
            <w:r>
              <w:rPr>
                <w:rFonts w:ascii="宋体" w:hAnsi="宋体" w:eastAsia="宋体" w:cs="Times New Roman"/>
                <w:bCs/>
                <w:spacing w:val="-6"/>
                <w:sz w:val="18"/>
                <w:szCs w:val="18"/>
              </w:rPr>
              <w:t>10~15</w:t>
            </w:r>
            <w:r>
              <w:rPr>
                <w:rFonts w:hint="eastAsia" w:ascii="宋体" w:hAnsi="宋体" w:eastAsia="宋体" w:cs="Times New Roman"/>
                <w:bCs/>
                <w:spacing w:val="-6"/>
                <w:sz w:val="18"/>
                <w:szCs w:val="18"/>
              </w:rPr>
              <w:t>（既有裂缝）</w:t>
            </w:r>
          </w:p>
          <w:p w14:paraId="3E61FCE3">
            <w:pPr>
              <w:pStyle w:val="245"/>
              <w:rPr>
                <w:rFonts w:ascii="宋体" w:hAnsi="宋体" w:eastAsia="宋体" w:cs="Times New Roman"/>
                <w:bCs/>
                <w:spacing w:val="-6"/>
                <w:sz w:val="18"/>
                <w:szCs w:val="18"/>
              </w:rPr>
            </w:pPr>
            <w:r>
              <w:rPr>
                <w:rFonts w:ascii="宋体" w:hAnsi="宋体" w:eastAsia="宋体" w:cs="Times New Roman"/>
                <w:bCs/>
                <w:spacing w:val="-6"/>
                <w:sz w:val="18"/>
                <w:szCs w:val="18"/>
              </w:rPr>
              <w:t>1~3</w:t>
            </w:r>
            <w:r>
              <w:rPr>
                <w:rFonts w:hint="eastAsia" w:ascii="宋体" w:hAnsi="宋体" w:eastAsia="宋体" w:cs="Times New Roman"/>
                <w:bCs/>
                <w:spacing w:val="-6"/>
                <w:sz w:val="18"/>
                <w:szCs w:val="18"/>
              </w:rPr>
              <w:t>（新增裂缝）</w:t>
            </w:r>
          </w:p>
        </w:tc>
        <w:tc>
          <w:tcPr>
            <w:tcW w:w="1005" w:type="dxa"/>
            <w:tcBorders>
              <w:top w:val="single" w:color="auto" w:sz="4" w:space="0"/>
              <w:left w:val="single" w:color="auto" w:sz="4" w:space="0"/>
              <w:bottom w:val="single" w:color="auto" w:sz="4" w:space="0"/>
              <w:right w:val="single" w:color="auto" w:sz="4" w:space="0"/>
            </w:tcBorders>
            <w:vAlign w:val="center"/>
          </w:tcPr>
          <w:p w14:paraId="2069F4A0">
            <w:pPr>
              <w:pStyle w:val="245"/>
              <w:jc w:val="center"/>
              <w:rPr>
                <w:rFonts w:ascii="宋体" w:hAnsi="宋体" w:eastAsia="宋体" w:cs="Times New Roman"/>
                <w:bCs/>
                <w:spacing w:val="-6"/>
                <w:sz w:val="18"/>
                <w:szCs w:val="18"/>
              </w:rPr>
            </w:pPr>
            <w:r>
              <w:rPr>
                <w:rFonts w:hint="eastAsia" w:ascii="宋体" w:hAnsi="宋体" w:eastAsia="宋体" w:cs="Times New Roman"/>
                <w:bCs/>
                <w:spacing w:val="-6"/>
                <w:sz w:val="18"/>
                <w:szCs w:val="18"/>
              </w:rPr>
              <w:t>持续发展</w:t>
            </w:r>
          </w:p>
        </w:tc>
        <w:tc>
          <w:tcPr>
            <w:tcW w:w="748" w:type="dxa"/>
            <w:tcBorders>
              <w:top w:val="single" w:color="auto" w:sz="4" w:space="0"/>
              <w:left w:val="single" w:color="auto" w:sz="4" w:space="0"/>
              <w:bottom w:val="single" w:color="auto" w:sz="4" w:space="0"/>
              <w:right w:val="single" w:color="auto" w:sz="4" w:space="0"/>
            </w:tcBorders>
            <w:vAlign w:val="center"/>
          </w:tcPr>
          <w:p w14:paraId="31B2B38B">
            <w:pPr>
              <w:pStyle w:val="245"/>
              <w:jc w:val="center"/>
              <w:rPr>
                <w:rFonts w:ascii="宋体" w:hAnsi="宋体" w:eastAsia="宋体" w:cs="Times New Roman"/>
                <w:sz w:val="18"/>
                <w:szCs w:val="18"/>
              </w:rPr>
            </w:pPr>
          </w:p>
        </w:tc>
      </w:tr>
      <w:tr w14:paraId="14D7C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413" w:type="dxa"/>
            <w:gridSpan w:val="5"/>
            <w:tcBorders>
              <w:top w:val="single" w:color="auto" w:sz="4" w:space="0"/>
              <w:left w:val="single" w:color="auto" w:sz="4" w:space="0"/>
              <w:bottom w:val="single" w:color="auto" w:sz="4" w:space="0"/>
              <w:right w:val="single" w:color="auto" w:sz="4" w:space="0"/>
            </w:tcBorders>
            <w:vAlign w:val="center"/>
          </w:tcPr>
          <w:p w14:paraId="418A4BD6">
            <w:pPr>
              <w:pStyle w:val="245"/>
              <w:ind w:firstLine="360" w:firstLineChars="200"/>
              <w:rPr>
                <w:rFonts w:ascii="宋体" w:hAnsi="宋体" w:eastAsia="宋体" w:cs="Times New Roman"/>
                <w:sz w:val="18"/>
                <w:szCs w:val="18"/>
              </w:rPr>
            </w:pPr>
            <w:r>
              <w:rPr>
                <w:rFonts w:hint="eastAsia" w:ascii="宋体" w:hAnsi="宋体" w:eastAsia="宋体" w:cs="Times New Roman"/>
                <w:sz w:val="18"/>
                <w:szCs w:val="18"/>
              </w:rPr>
              <w:t>注：</w:t>
            </w:r>
            <w:r>
              <w:rPr>
                <w:rFonts w:ascii="宋体" w:hAnsi="宋体" w:eastAsia="宋体" w:cs="Times New Roman"/>
                <w:sz w:val="18"/>
                <w:szCs w:val="18"/>
              </w:rPr>
              <w:t xml:space="preserve">1  </w:t>
            </w:r>
            <w:r>
              <w:rPr>
                <w:rFonts w:hint="eastAsia" w:ascii="宋体" w:hAnsi="宋体" w:eastAsia="宋体" w:cs="Times New Roman"/>
                <w:sz w:val="18"/>
                <w:szCs w:val="18"/>
              </w:rPr>
              <w:t xml:space="preserve">地下水位监测控制指标应根据项目情况确定，坑外地下水位标高高于设 计计算采用的水位标高时应预警，并进行设计复核；当基坑深度范围内本无地 下水且基坑开挖及使用期间存在地下水位上涨风险时，应规定在地下水位标高 距坑底小于 </w:t>
            </w:r>
            <w:r>
              <w:rPr>
                <w:rFonts w:ascii="宋体" w:hAnsi="宋体" w:eastAsia="宋体" w:cs="Times New Roman"/>
                <w:sz w:val="18"/>
                <w:szCs w:val="18"/>
              </w:rPr>
              <w:t xml:space="preserve">1m </w:t>
            </w:r>
            <w:r>
              <w:rPr>
                <w:rFonts w:hint="eastAsia" w:ascii="宋体" w:hAnsi="宋体" w:eastAsia="宋体" w:cs="Times New Roman"/>
                <w:sz w:val="18"/>
                <w:szCs w:val="18"/>
              </w:rPr>
              <w:t>时预警；</w:t>
            </w:r>
          </w:p>
          <w:p w14:paraId="2042884A">
            <w:pPr>
              <w:pStyle w:val="245"/>
              <w:ind w:firstLine="360" w:firstLineChars="200"/>
              <w:rPr>
                <w:rFonts w:ascii="宋体" w:hAnsi="宋体" w:eastAsia="宋体" w:cs="Times New Roman"/>
                <w:sz w:val="18"/>
                <w:szCs w:val="18"/>
              </w:rPr>
            </w:pPr>
            <w:r>
              <w:rPr>
                <w:rFonts w:ascii="宋体" w:hAnsi="宋体" w:eastAsia="宋体" w:cs="Times New Roman"/>
                <w:sz w:val="18"/>
                <w:szCs w:val="18"/>
              </w:rPr>
              <w:t xml:space="preserve">2  </w:t>
            </w:r>
            <w:r>
              <w:rPr>
                <w:rFonts w:hint="eastAsia" w:ascii="宋体" w:hAnsi="宋体" w:eastAsia="宋体" w:cs="Times New Roman"/>
                <w:sz w:val="18"/>
                <w:szCs w:val="18"/>
              </w:rPr>
              <w:t>建议基坑施工前对周边建（构）筑物等环境条件进行针对性调查，并结 合建（构）筑物状态、裂缝情况等调查结果确定预警值；</w:t>
            </w:r>
          </w:p>
          <w:p w14:paraId="7275C876">
            <w:pPr>
              <w:pStyle w:val="245"/>
              <w:ind w:firstLine="360" w:firstLineChars="200"/>
              <w:rPr>
                <w:rFonts w:ascii="宋体" w:hAnsi="宋体" w:cs="Arial"/>
                <w:sz w:val="18"/>
                <w:szCs w:val="18"/>
              </w:rPr>
            </w:pPr>
            <w:r>
              <w:rPr>
                <w:rFonts w:ascii="宋体" w:hAnsi="宋体" w:eastAsia="宋体" w:cs="Times New Roman"/>
                <w:sz w:val="18"/>
                <w:szCs w:val="18"/>
              </w:rPr>
              <w:t xml:space="preserve">3  </w:t>
            </w:r>
            <w:r>
              <w:rPr>
                <w:rFonts w:hint="eastAsia" w:ascii="宋体" w:hAnsi="宋体" w:eastAsia="宋体" w:cs="Times New Roman"/>
                <w:sz w:val="18"/>
                <w:szCs w:val="18"/>
              </w:rPr>
              <w:t>基坑周边管线、道路、建（构）筑物竖向位移监测预警值应结合产权单 位、建设单位要求进一步确定，无特殊要求时参照本表。</w:t>
            </w:r>
          </w:p>
        </w:tc>
      </w:tr>
    </w:tbl>
    <w:p w14:paraId="738A3625">
      <w:pPr>
        <w:pStyle w:val="109"/>
        <w:spacing w:before="120" w:after="120"/>
        <w:ind w:left="0"/>
      </w:pPr>
      <w:bookmarkStart w:id="79" w:name="_Toc203213047"/>
      <w:r>
        <w:rPr>
          <w:rFonts w:hint="eastAsia"/>
        </w:rPr>
        <w:t>数据处理与信息反馈</w:t>
      </w:r>
      <w:bookmarkEnd w:id="79"/>
    </w:p>
    <w:p w14:paraId="2363BE0D">
      <w:pPr>
        <w:pStyle w:val="69"/>
        <w:spacing w:before="120" w:after="120"/>
        <w:ind w:left="0"/>
        <w:rPr>
          <w:rFonts w:ascii="宋体" w:hAnsi="宋体" w:eastAsia="宋体"/>
        </w:rPr>
      </w:pPr>
      <w:r>
        <w:rPr>
          <w:rFonts w:hint="eastAsia" w:ascii="宋体" w:hAnsi="宋体" w:eastAsia="宋体"/>
        </w:rPr>
        <w:t>监测数据的处理和信息反馈应采用信息化处理和反馈方法。</w:t>
      </w:r>
    </w:p>
    <w:p w14:paraId="6A4A7FD9">
      <w:pPr>
        <w:pStyle w:val="69"/>
        <w:spacing w:before="120" w:after="120"/>
        <w:ind w:left="0"/>
        <w:rPr>
          <w:rFonts w:ascii="宋体" w:hAnsi="宋体" w:eastAsia="宋体"/>
        </w:rPr>
      </w:pPr>
      <w:r>
        <w:rPr>
          <w:rFonts w:hint="eastAsia" w:ascii="宋体" w:hAnsi="宋体" w:eastAsia="宋体"/>
        </w:rPr>
        <w:t>应按监测方案中的监测频次观测，及时处理分析监测数据，并将监测结果及时上报至相关各方，当监测数据达到预警值时应立即通知参建有关单位，并启动应急预案，加密观测频次。采用自动化监测时，自动化监测结果触发预警后，应立即自动调整监测频率，进行加密监测。同步开展人工监测复核并加强现场安全巡视，深入分析异常监测数据的原因。</w:t>
      </w:r>
    </w:p>
    <w:p w14:paraId="26EDFBB7">
      <w:pPr>
        <w:pStyle w:val="69"/>
        <w:spacing w:before="120" w:after="120"/>
        <w:ind w:left="0"/>
        <w:rPr>
          <w:rFonts w:ascii="宋体" w:hAnsi="宋体" w:eastAsia="宋体"/>
        </w:rPr>
      </w:pPr>
      <w:r>
        <w:rPr>
          <w:rFonts w:hint="eastAsia" w:ascii="宋体" w:hAnsi="宋体" w:eastAsia="宋体"/>
        </w:rPr>
        <w:t>进行监测项目数据分析时，除对每个项目进行单项分析外，还应结合往期监测数据、施工工况以及自然环境等情况进行多项目综合分析，并按规定流程报送相关方。</w:t>
      </w:r>
    </w:p>
    <w:p w14:paraId="18971E24">
      <w:pPr>
        <w:pStyle w:val="69"/>
        <w:spacing w:before="120" w:after="120"/>
        <w:ind w:left="0"/>
        <w:rPr>
          <w:rFonts w:ascii="宋体" w:hAnsi="宋体" w:eastAsia="宋体"/>
        </w:rPr>
      </w:pPr>
      <w:r>
        <w:rPr>
          <w:rFonts w:hint="eastAsia" w:ascii="宋体" w:hAnsi="宋体" w:eastAsia="宋体"/>
        </w:rPr>
        <w:t>监测成果应包括当日报表、阶段性报告、总结报告。监测成果中的内容应客观、真实、准确，宜用表格和变化曲线或图形反映基坑变化情况。</w:t>
      </w:r>
    </w:p>
    <w:p w14:paraId="380F5C82">
      <w:pPr>
        <w:pStyle w:val="108"/>
        <w:spacing w:before="240" w:after="240"/>
      </w:pPr>
      <w:bookmarkStart w:id="80" w:name="_Toc203213048"/>
      <w:r>
        <w:rPr>
          <w:rFonts w:hint="eastAsia"/>
        </w:rPr>
        <w:t>主体结构测量</w:t>
      </w:r>
      <w:bookmarkEnd w:id="80"/>
    </w:p>
    <w:p w14:paraId="49403518">
      <w:pPr>
        <w:pStyle w:val="109"/>
        <w:spacing w:before="120" w:after="120"/>
        <w:ind w:left="0"/>
      </w:pPr>
      <w:bookmarkStart w:id="81" w:name="_Toc203213049"/>
      <w:bookmarkStart w:id="82" w:name="_Toc91590489"/>
      <w:bookmarkStart w:id="83" w:name="_Toc81571047"/>
      <w:r>
        <w:rPr>
          <w:rFonts w:hint="eastAsia"/>
        </w:rPr>
        <w:t>一般规定</w:t>
      </w:r>
      <w:bookmarkEnd w:id="81"/>
      <w:bookmarkEnd w:id="82"/>
      <w:bookmarkEnd w:id="83"/>
    </w:p>
    <w:p w14:paraId="6793A715">
      <w:pPr>
        <w:pStyle w:val="69"/>
        <w:spacing w:before="120" w:after="120"/>
        <w:ind w:left="0"/>
        <w:rPr>
          <w:rFonts w:ascii="宋体" w:hAnsi="宋体" w:eastAsia="宋体"/>
        </w:rPr>
      </w:pPr>
      <w:r>
        <w:rPr>
          <w:rFonts w:hint="eastAsia" w:ascii="宋体" w:hAnsi="宋体" w:eastAsia="宋体"/>
        </w:rPr>
        <w:t>主体结构测量应包括支护结构和地基基础测量、混凝土结构测量、钢结构安装测量、归心测量、压缩变形测量及层高改正。</w:t>
      </w:r>
    </w:p>
    <w:p w14:paraId="2DC5F3B6">
      <w:pPr>
        <w:pStyle w:val="69"/>
        <w:spacing w:before="120" w:after="120"/>
        <w:ind w:left="0"/>
        <w:rPr>
          <w:rFonts w:ascii="宋体" w:hAnsi="宋体" w:eastAsia="宋体"/>
        </w:rPr>
      </w:pPr>
      <w:r>
        <w:rPr>
          <w:rFonts w:hint="eastAsia" w:ascii="宋体" w:hAnsi="宋体" w:eastAsia="宋体"/>
        </w:rPr>
        <w:t>测量点位布置应列入施工组织设计中统一规划，点位布置要设计合理，标识清晰并采取措施加以妥善保护，现场所有点位应绘制成图。</w:t>
      </w:r>
    </w:p>
    <w:p w14:paraId="2B0B63A8">
      <w:pPr>
        <w:pStyle w:val="69"/>
        <w:spacing w:before="120" w:after="120"/>
        <w:ind w:left="0"/>
        <w:rPr>
          <w:rFonts w:ascii="宋体" w:hAnsi="宋体" w:eastAsia="宋体"/>
        </w:rPr>
      </w:pPr>
      <w:r>
        <w:rPr>
          <w:rFonts w:hint="eastAsia" w:ascii="宋体" w:hAnsi="宋体" w:eastAsia="宋体"/>
        </w:rPr>
        <w:t>主体结构测量放线前应校核控制点坐标，审核施工测量起始依据</w:t>
      </w:r>
      <w:r>
        <w:rPr>
          <w:rFonts w:ascii="宋体" w:hAnsi="宋体" w:eastAsia="宋体"/>
        </w:rPr>
        <w:t>(</w:t>
      </w:r>
      <w:r>
        <w:rPr>
          <w:rFonts w:hint="eastAsia" w:ascii="宋体" w:hAnsi="宋体" w:eastAsia="宋体"/>
        </w:rPr>
        <w:t>设计图纸、文件资料</w:t>
      </w:r>
      <w:r>
        <w:rPr>
          <w:rFonts w:ascii="宋体" w:hAnsi="宋体" w:eastAsia="宋体"/>
        </w:rPr>
        <w:t>)</w:t>
      </w:r>
      <w:r>
        <w:rPr>
          <w:rFonts w:hint="eastAsia" w:ascii="宋体" w:hAnsi="宋体" w:eastAsia="宋体"/>
        </w:rPr>
        <w:t>的正确性，测量作业与计算应步步有校核。</w:t>
      </w:r>
    </w:p>
    <w:p w14:paraId="3ABD503E">
      <w:pPr>
        <w:pStyle w:val="69"/>
        <w:spacing w:before="120" w:after="120"/>
        <w:ind w:left="0"/>
        <w:rPr>
          <w:rFonts w:ascii="宋体" w:hAnsi="宋体" w:eastAsia="宋体"/>
        </w:rPr>
      </w:pPr>
      <w:r>
        <w:rPr>
          <w:rFonts w:hint="eastAsia" w:ascii="宋体" w:hAnsi="宋体" w:eastAsia="宋体"/>
        </w:rPr>
        <w:t>建筑定位放线应经施工单位自检、监理单位验线合格后，方可进行施工。</w:t>
      </w:r>
    </w:p>
    <w:p w14:paraId="68B4445F">
      <w:pPr>
        <w:pStyle w:val="109"/>
        <w:spacing w:before="120" w:after="120"/>
        <w:ind w:left="0"/>
      </w:pPr>
      <w:bookmarkStart w:id="84" w:name="_Toc81571048"/>
      <w:bookmarkStart w:id="85" w:name="_Toc91590490"/>
      <w:bookmarkStart w:id="86" w:name="_Toc203213050"/>
      <w:r>
        <w:rPr>
          <w:rFonts w:hint="eastAsia"/>
        </w:rPr>
        <w:t>支护结构和地基基础测量</w:t>
      </w:r>
      <w:bookmarkEnd w:id="84"/>
      <w:bookmarkEnd w:id="85"/>
      <w:bookmarkEnd w:id="86"/>
    </w:p>
    <w:p w14:paraId="17A514DC">
      <w:pPr>
        <w:pStyle w:val="69"/>
        <w:spacing w:before="120" w:after="120"/>
        <w:ind w:left="0"/>
        <w:rPr>
          <w:rFonts w:ascii="宋体" w:hAnsi="宋体" w:eastAsia="宋体"/>
        </w:rPr>
      </w:pPr>
      <w:r>
        <w:rPr>
          <w:rFonts w:hint="eastAsia" w:ascii="宋体" w:hAnsi="宋体" w:eastAsia="宋体"/>
        </w:rPr>
        <w:t>地下连续墙施工测量，应以轴线控制桩为准测设连续墙中线，中线横向允许偏差不应超过±10mm。内、外导槽应平行于地下连续墙中线，其放样横向允许偏差不应超过±2</w:t>
      </w:r>
      <w:r>
        <w:rPr>
          <w:rFonts w:ascii="宋体" w:hAnsi="宋体" w:eastAsia="宋体"/>
        </w:rPr>
        <w:t>0mm</w:t>
      </w:r>
      <w:r>
        <w:rPr>
          <w:rFonts w:hint="eastAsia" w:ascii="宋体" w:hAnsi="宋体" w:eastAsia="宋体"/>
        </w:rPr>
        <w:t>。</w:t>
      </w:r>
    </w:p>
    <w:p w14:paraId="6077ADDA">
      <w:pPr>
        <w:pStyle w:val="69"/>
        <w:spacing w:before="120" w:after="120"/>
        <w:ind w:left="0"/>
        <w:rPr>
          <w:rFonts w:ascii="宋体" w:hAnsi="宋体" w:eastAsia="宋体"/>
        </w:rPr>
      </w:pPr>
      <w:r>
        <w:rPr>
          <w:rFonts w:hint="eastAsia" w:ascii="宋体" w:hAnsi="宋体" w:eastAsia="宋体"/>
        </w:rPr>
        <w:t>混凝土支护桩施工测量，应以轴线控制桩为准测设灌注桩中线，中线横向允许偏差不应超过±20mm。</w:t>
      </w:r>
    </w:p>
    <w:p w14:paraId="14CBFEA7">
      <w:pPr>
        <w:pStyle w:val="69"/>
        <w:spacing w:before="120" w:after="120"/>
        <w:ind w:left="0"/>
        <w:rPr>
          <w:rFonts w:ascii="宋体" w:hAnsi="宋体" w:eastAsia="宋体"/>
        </w:rPr>
      </w:pPr>
      <w:r>
        <w:rPr>
          <w:rFonts w:hint="eastAsia" w:ascii="宋体" w:hAnsi="宋体" w:eastAsia="宋体"/>
        </w:rPr>
        <w:t>内支撑施工测量可采用轴线法、极坐标法等，钢筋混凝土支撑轴线平面位置允许偏差不应超过2</w:t>
      </w:r>
      <w:r>
        <w:rPr>
          <w:rFonts w:ascii="宋体" w:hAnsi="宋体" w:eastAsia="宋体"/>
        </w:rPr>
        <w:t>0mm</w:t>
      </w:r>
      <w:r>
        <w:rPr>
          <w:rFonts w:hint="eastAsia" w:ascii="宋体" w:hAnsi="宋体" w:eastAsia="宋体"/>
        </w:rPr>
        <w:t>，钢支撑轴线平面位置允许偏差不应超过</w:t>
      </w:r>
      <w:r>
        <w:rPr>
          <w:rFonts w:ascii="宋体" w:hAnsi="宋体" w:eastAsia="宋体"/>
        </w:rPr>
        <w:t>30mm</w:t>
      </w:r>
      <w:r>
        <w:rPr>
          <w:rFonts w:hint="eastAsia" w:ascii="宋体" w:hAnsi="宋体" w:eastAsia="宋体"/>
        </w:rPr>
        <w:t>。</w:t>
      </w:r>
    </w:p>
    <w:p w14:paraId="77DC7F2B">
      <w:pPr>
        <w:pStyle w:val="69"/>
        <w:spacing w:before="120" w:after="120"/>
        <w:ind w:left="0"/>
        <w:rPr>
          <w:rFonts w:ascii="宋体" w:hAnsi="宋体" w:eastAsia="宋体"/>
        </w:rPr>
      </w:pPr>
      <w:r>
        <w:rPr>
          <w:rFonts w:hint="eastAsia" w:ascii="宋体" w:hAnsi="宋体" w:eastAsia="宋体"/>
        </w:rPr>
        <w:t>立柱桩施工测量应以轴线控制桩为准测设桩中心线，平面位置允许偏差不应超过</w:t>
      </w:r>
      <w:r>
        <w:rPr>
          <w:rFonts w:ascii="宋体" w:hAnsi="宋体" w:eastAsia="宋体"/>
        </w:rPr>
        <w:t>20mm</w:t>
      </w:r>
      <w:r>
        <w:rPr>
          <w:rFonts w:hint="eastAsia" w:ascii="宋体" w:hAnsi="宋体" w:eastAsia="宋体"/>
        </w:rPr>
        <w:t>。桩顶标高允许偏不应超过</w:t>
      </w:r>
      <w:r>
        <w:rPr>
          <w:rFonts w:ascii="宋体" w:hAnsi="宋体" w:eastAsia="宋体"/>
        </w:rPr>
        <w:t>+2</w:t>
      </w:r>
      <w:r>
        <w:rPr>
          <w:rFonts w:hint="eastAsia" w:ascii="宋体" w:hAnsi="宋体" w:eastAsia="宋体"/>
        </w:rPr>
        <w:t>0mm。</w:t>
      </w:r>
    </w:p>
    <w:p w14:paraId="368A7651">
      <w:pPr>
        <w:pStyle w:val="69"/>
        <w:spacing w:before="120" w:after="120"/>
        <w:ind w:left="0"/>
        <w:rPr>
          <w:rFonts w:ascii="宋体" w:hAnsi="宋体" w:eastAsia="宋体"/>
        </w:rPr>
      </w:pPr>
      <w:r>
        <w:rPr>
          <w:rFonts w:hint="eastAsia" w:ascii="宋体" w:hAnsi="宋体" w:eastAsia="宋体"/>
        </w:rPr>
        <w:t>大开挖施工测量，应根据轴线控制桩分别测设出基槽上、下口位置桩，并标出开挖边界线，上口桩允许偏差区间应为-20～+50mm，下口桩允许偏差区间应为-10～</w:t>
      </w:r>
      <w:r>
        <w:rPr>
          <w:rFonts w:ascii="宋体" w:hAnsi="宋体" w:eastAsia="宋体"/>
        </w:rPr>
        <w:t>+2</w:t>
      </w:r>
      <w:r>
        <w:rPr>
          <w:rFonts w:hint="eastAsia" w:ascii="宋体" w:hAnsi="宋体" w:eastAsia="宋体"/>
        </w:rPr>
        <w:t>0mm。</w:t>
      </w:r>
    </w:p>
    <w:p w14:paraId="3E8E58F3">
      <w:pPr>
        <w:pStyle w:val="69"/>
        <w:spacing w:before="120" w:after="120"/>
        <w:ind w:left="0"/>
        <w:rPr>
          <w:rFonts w:ascii="宋体" w:hAnsi="宋体" w:eastAsia="宋体"/>
        </w:rPr>
      </w:pPr>
      <w:r>
        <w:rPr>
          <w:rFonts w:hint="eastAsia" w:ascii="宋体" w:hAnsi="宋体" w:eastAsia="宋体"/>
        </w:rPr>
        <w:t>基坑开挖中，应在侧壁每隔</w:t>
      </w:r>
      <w:r>
        <w:rPr>
          <w:rFonts w:ascii="宋体" w:hAnsi="宋体" w:eastAsia="宋体"/>
        </w:rPr>
        <w:t>3m</w:t>
      </w:r>
      <w:r>
        <w:rPr>
          <w:rFonts w:hint="eastAsia" w:ascii="宋体" w:hAnsi="宋体" w:eastAsia="宋体"/>
        </w:rPr>
        <w:t>距离测设距槽底设计标高500mm或1000mm的水平桩，标高允许偏差不应超过±</w:t>
      </w:r>
      <w:r>
        <w:rPr>
          <w:rFonts w:ascii="宋体" w:hAnsi="宋体" w:eastAsia="宋体"/>
        </w:rPr>
        <w:t>5mm</w:t>
      </w:r>
      <w:r>
        <w:rPr>
          <w:rFonts w:hint="eastAsia" w:ascii="宋体" w:hAnsi="宋体" w:eastAsia="宋体"/>
        </w:rPr>
        <w:t>。</w:t>
      </w:r>
    </w:p>
    <w:p w14:paraId="380E3E64">
      <w:pPr>
        <w:pStyle w:val="69"/>
        <w:spacing w:before="120" w:after="120"/>
        <w:ind w:left="0"/>
        <w:rPr>
          <w:rFonts w:ascii="宋体" w:hAnsi="宋体" w:eastAsia="宋体"/>
        </w:rPr>
      </w:pPr>
      <w:r>
        <w:rPr>
          <w:rFonts w:hint="eastAsia" w:ascii="宋体" w:hAnsi="宋体" w:eastAsia="宋体"/>
        </w:rPr>
        <w:t>集水坑、电梯井等放线应以轴线控制桩为准测设中心“十”字线，再以中心“十”字线测设开挖边线，“十”字线中心的平面允许偏差不应超过</w:t>
      </w:r>
      <w:r>
        <w:rPr>
          <w:rFonts w:ascii="宋体" w:hAnsi="宋体" w:eastAsia="宋体"/>
        </w:rPr>
        <w:t>3</w:t>
      </w:r>
      <w:r>
        <w:rPr>
          <w:rFonts w:hint="eastAsia" w:ascii="宋体" w:hAnsi="宋体" w:eastAsia="宋体"/>
        </w:rPr>
        <w:t>mm。</w:t>
      </w:r>
    </w:p>
    <w:p w14:paraId="5E1C6CF5">
      <w:pPr>
        <w:pStyle w:val="69"/>
        <w:spacing w:before="120" w:after="120"/>
        <w:ind w:left="0"/>
        <w:rPr>
          <w:rFonts w:ascii="宋体" w:hAnsi="宋体" w:eastAsia="宋体"/>
        </w:rPr>
      </w:pPr>
      <w:r>
        <w:rPr>
          <w:rFonts w:hint="eastAsia" w:ascii="宋体" w:hAnsi="宋体" w:eastAsia="宋体"/>
        </w:rPr>
        <w:t>在垫层或地基上进行基础放线前，应先校核各主控制轴线的定位桩，无误后，方可根据控制轴线的定位桩投测建筑各控制轴线。建筑各控制轴线在经过闭合校测合格后，方可用墨线弹出建筑的大角线、细部轴线与施工线，控制轴线的放线应独立实测两次。基础外廓轴线放样允许偏差应符合表</w:t>
      </w:r>
      <w:r>
        <w:rPr>
          <w:rFonts w:ascii="宋体" w:hAnsi="宋体" w:eastAsia="宋体"/>
        </w:rPr>
        <w:t>17</w:t>
      </w:r>
      <w:r>
        <w:rPr>
          <w:rFonts w:hint="eastAsia" w:ascii="宋体" w:hAnsi="宋体" w:eastAsia="宋体"/>
        </w:rPr>
        <w:t>的规定。</w:t>
      </w:r>
    </w:p>
    <w:p w14:paraId="6D9E54C3">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17</w:t>
      </w:r>
      <w:r>
        <w:rPr>
          <w:rFonts w:hint="eastAsia" w:ascii="黑体" w:hAnsi="黑体" w:eastAsia="黑体"/>
          <w:bCs/>
          <w:color w:val="000000" w:themeColor="text1"/>
          <w14:textFill>
            <w14:solidFill>
              <w14:schemeClr w14:val="tx1"/>
            </w14:solidFill>
          </w14:textFill>
        </w:rPr>
        <w:t xml:space="preserve">  控制轴线放样允许偏差</w:t>
      </w:r>
    </w:p>
    <w:tbl>
      <w:tblPr>
        <w:tblStyle w:val="29"/>
        <w:tblW w:w="3501" w:type="pct"/>
        <w:jc w:val="center"/>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50"/>
        <w:gridCol w:w="3251"/>
      </w:tblGrid>
      <w:tr w14:paraId="147BCB5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top w:val="single" w:color="auto" w:sz="8" w:space="0"/>
              <w:left w:val="single" w:color="auto" w:sz="4" w:space="0"/>
            </w:tcBorders>
            <w:vAlign w:val="center"/>
          </w:tcPr>
          <w:p w14:paraId="0D6A8E99">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长度</w:t>
            </w:r>
            <w:r>
              <w:rPr>
                <w:rFonts w:hint="eastAsia" w:ascii="宋体" w:hAnsi="宋体"/>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、宽度B的尺寸</w:t>
            </w: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m</w:t>
            </w:r>
          </w:p>
        </w:tc>
        <w:tc>
          <w:tcPr>
            <w:tcW w:w="3174" w:type="dxa"/>
            <w:tcBorders>
              <w:top w:val="single" w:color="auto" w:sz="8" w:space="0"/>
            </w:tcBorders>
            <w:vAlign w:val="center"/>
          </w:tcPr>
          <w:p w14:paraId="2C695032">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允许偏差/mm</w:t>
            </w:r>
          </w:p>
        </w:tc>
      </w:tr>
      <w:tr w14:paraId="3A80845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tcBorders>
            <w:vAlign w:val="center"/>
          </w:tcPr>
          <w:p w14:paraId="01AD9352">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 30</w:t>
            </w:r>
          </w:p>
        </w:tc>
        <w:tc>
          <w:tcPr>
            <w:tcW w:w="3174" w:type="dxa"/>
            <w:vAlign w:val="center"/>
          </w:tcPr>
          <w:p w14:paraId="22DB72A5">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4</w:t>
            </w:r>
          </w:p>
        </w:tc>
      </w:tr>
      <w:tr w14:paraId="549581E1">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tcBorders>
            <w:vAlign w:val="center"/>
          </w:tcPr>
          <w:p w14:paraId="77A960B8">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 60</w:t>
            </w:r>
          </w:p>
        </w:tc>
        <w:tc>
          <w:tcPr>
            <w:tcW w:w="3174" w:type="dxa"/>
            <w:vAlign w:val="center"/>
          </w:tcPr>
          <w:p w14:paraId="500B9129">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8</w:t>
            </w:r>
          </w:p>
        </w:tc>
      </w:tr>
      <w:tr w14:paraId="73C95219">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tcBorders>
            <w:vAlign w:val="center"/>
          </w:tcPr>
          <w:p w14:paraId="1DE01FDF">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60＜L（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 90</w:t>
            </w:r>
          </w:p>
        </w:tc>
        <w:tc>
          <w:tcPr>
            <w:tcW w:w="3174" w:type="dxa"/>
            <w:vAlign w:val="center"/>
          </w:tcPr>
          <w:p w14:paraId="7C3B00B5">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12</w:t>
            </w:r>
          </w:p>
        </w:tc>
      </w:tr>
      <w:tr w14:paraId="2651B7CE">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tcBorders>
            <w:vAlign w:val="center"/>
          </w:tcPr>
          <w:p w14:paraId="26DE5706">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90＜L（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）≤120</w:t>
            </w:r>
          </w:p>
        </w:tc>
        <w:tc>
          <w:tcPr>
            <w:tcW w:w="3174" w:type="dxa"/>
            <w:vAlign w:val="center"/>
          </w:tcPr>
          <w:p w14:paraId="76AED24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16</w:t>
            </w:r>
          </w:p>
        </w:tc>
      </w:tr>
      <w:tr w14:paraId="7986F04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tcBorders>
            <w:vAlign w:val="center"/>
          </w:tcPr>
          <w:p w14:paraId="4FF66FE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120＜L（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）≤150</w:t>
            </w:r>
          </w:p>
        </w:tc>
        <w:tc>
          <w:tcPr>
            <w:tcW w:w="3174" w:type="dxa"/>
            <w:vAlign w:val="center"/>
          </w:tcPr>
          <w:p w14:paraId="07254AC2">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20</w:t>
            </w:r>
          </w:p>
        </w:tc>
      </w:tr>
      <w:tr w14:paraId="135E211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8" w:type="dxa"/>
            <w:tcBorders>
              <w:left w:val="single" w:color="auto" w:sz="4" w:space="0"/>
              <w:bottom w:val="single" w:color="auto" w:sz="8" w:space="0"/>
            </w:tcBorders>
            <w:vAlign w:val="center"/>
          </w:tcPr>
          <w:p w14:paraId="64FF0107">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150＜L（</w:t>
            </w:r>
            <w:r>
              <w:rPr>
                <w:rFonts w:hint="eastAsia" w:ascii="宋体" w:hAnsi="宋体"/>
                <w:color w:val="000000" w:themeColor="text1"/>
                <w:sz w:val="18"/>
                <w:szCs w:val="18"/>
                <w14:textFill>
                  <w14:solidFill>
                    <w14:schemeClr w14:val="tx1"/>
                  </w14:solidFill>
                </w14:textFill>
              </w:rPr>
              <w:t>B</w:t>
            </w:r>
            <w:r>
              <w:rPr>
                <w:rFonts w:ascii="宋体" w:hAnsi="宋体"/>
                <w:color w:val="000000" w:themeColor="text1"/>
                <w:sz w:val="18"/>
                <w:szCs w:val="18"/>
                <w14:textFill>
                  <w14:solidFill>
                    <w14:schemeClr w14:val="tx1"/>
                  </w14:solidFill>
                </w14:textFill>
              </w:rPr>
              <w:t>）</w:t>
            </w:r>
          </w:p>
        </w:tc>
        <w:tc>
          <w:tcPr>
            <w:tcW w:w="3174" w:type="dxa"/>
            <w:tcBorders>
              <w:bottom w:val="single" w:color="auto" w:sz="8" w:space="0"/>
            </w:tcBorders>
            <w:vAlign w:val="center"/>
          </w:tcPr>
          <w:p w14:paraId="0BB65A6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24</w:t>
            </w:r>
          </w:p>
        </w:tc>
      </w:tr>
    </w:tbl>
    <w:p w14:paraId="24D27F5A">
      <w:pPr>
        <w:pStyle w:val="109"/>
        <w:spacing w:before="120" w:after="120"/>
        <w:ind w:left="0"/>
      </w:pPr>
      <w:bookmarkStart w:id="87" w:name="_Toc203213051"/>
      <w:r>
        <w:rPr>
          <w:rFonts w:hint="eastAsia"/>
        </w:rPr>
        <w:t>混凝土结构测量</w:t>
      </w:r>
      <w:bookmarkEnd w:id="87"/>
    </w:p>
    <w:p w14:paraId="03BC5F82">
      <w:pPr>
        <w:pStyle w:val="69"/>
        <w:spacing w:before="120" w:after="120"/>
        <w:ind w:left="0"/>
        <w:rPr>
          <w:rFonts w:ascii="宋体" w:hAnsi="宋体" w:eastAsia="宋体"/>
        </w:rPr>
      </w:pPr>
      <w:r>
        <w:rPr>
          <w:rFonts w:hint="eastAsia" w:ascii="宋体" w:hAnsi="宋体" w:eastAsia="宋体"/>
        </w:rPr>
        <w:t>地下混凝土结构施工测量可采用建筑外控网，建筑外控网的布置应综合考虑现场施工临时设施、建筑整体布局等因素，确保控制点布置合理，能够覆盖各施工流水段，并应定期进行复测。</w:t>
      </w:r>
    </w:p>
    <w:p w14:paraId="1AD47420">
      <w:pPr>
        <w:pStyle w:val="69"/>
        <w:spacing w:before="120" w:after="120"/>
        <w:ind w:left="0"/>
        <w:rPr>
          <w:rFonts w:ascii="宋体" w:hAnsi="宋体" w:eastAsia="宋体"/>
        </w:rPr>
      </w:pPr>
      <w:r>
        <w:rPr>
          <w:rFonts w:hint="eastAsia" w:ascii="宋体" w:hAnsi="宋体" w:eastAsia="宋体"/>
        </w:rPr>
        <w:t>地下混凝土结构主控制轴线投测应采用测角精度不低于2"的测量设备，正倒镜两次测量取平均值，投测主控制轴线允许偏差不应超过±</w:t>
      </w:r>
      <w:r>
        <w:rPr>
          <w:rFonts w:ascii="宋体" w:hAnsi="宋体" w:eastAsia="宋体"/>
        </w:rPr>
        <w:t>3mm</w:t>
      </w:r>
      <w:r>
        <w:rPr>
          <w:rFonts w:hint="eastAsia" w:ascii="宋体" w:hAnsi="宋体" w:eastAsia="宋体"/>
        </w:rPr>
        <w:t>。</w:t>
      </w:r>
    </w:p>
    <w:p w14:paraId="59F5FB8C">
      <w:pPr>
        <w:pStyle w:val="69"/>
        <w:spacing w:before="120" w:after="120"/>
        <w:ind w:left="0"/>
        <w:rPr>
          <w:rFonts w:ascii="宋体" w:hAnsi="宋体" w:eastAsia="宋体"/>
        </w:rPr>
      </w:pPr>
      <w:bookmarkStart w:id="88" w:name="_Toc81571049"/>
      <w:bookmarkStart w:id="89" w:name="_Toc91590491"/>
      <w:r>
        <w:rPr>
          <w:rFonts w:hint="eastAsia" w:ascii="宋体" w:hAnsi="宋体" w:eastAsia="宋体"/>
        </w:rPr>
        <w:t>测设细部轴线及施工线时，各部位放线允许偏差应符合表</w:t>
      </w:r>
      <w:r>
        <w:rPr>
          <w:rFonts w:ascii="宋体" w:hAnsi="宋体" w:eastAsia="宋体"/>
        </w:rPr>
        <w:t>18</w:t>
      </w:r>
      <w:r>
        <w:rPr>
          <w:rFonts w:hint="eastAsia" w:ascii="宋体" w:hAnsi="宋体" w:eastAsia="宋体"/>
        </w:rPr>
        <w:t>的规定，</w:t>
      </w:r>
      <w:r>
        <w:rPr>
          <w:rFonts w:ascii="宋体" w:hAnsi="宋体" w:eastAsia="宋体"/>
        </w:rPr>
        <w:t>设计</w:t>
      </w:r>
      <w:r>
        <w:rPr>
          <w:rFonts w:hint="eastAsia" w:ascii="宋体" w:hAnsi="宋体" w:eastAsia="宋体"/>
        </w:rPr>
        <w:t>方有明确</w:t>
      </w:r>
      <w:r>
        <w:rPr>
          <w:rFonts w:ascii="宋体" w:hAnsi="宋体" w:eastAsia="宋体"/>
        </w:rPr>
        <w:t>要求</w:t>
      </w:r>
      <w:r>
        <w:rPr>
          <w:rFonts w:hint="eastAsia" w:ascii="宋体" w:hAnsi="宋体" w:eastAsia="宋体"/>
        </w:rPr>
        <w:t>时</w:t>
      </w:r>
      <w:r>
        <w:rPr>
          <w:rFonts w:ascii="宋体" w:hAnsi="宋体" w:eastAsia="宋体"/>
        </w:rPr>
        <w:t>应符合设计要求</w:t>
      </w:r>
      <w:r>
        <w:rPr>
          <w:rFonts w:hint="eastAsia" w:ascii="宋体" w:hAnsi="宋体" w:eastAsia="宋体"/>
        </w:rPr>
        <w:t>，但不应低于表</w:t>
      </w:r>
      <w:r>
        <w:rPr>
          <w:rFonts w:ascii="宋体" w:hAnsi="宋体" w:eastAsia="宋体"/>
        </w:rPr>
        <w:t>18</w:t>
      </w:r>
      <w:r>
        <w:rPr>
          <w:rFonts w:hint="eastAsia" w:ascii="宋体" w:hAnsi="宋体" w:eastAsia="宋体"/>
        </w:rPr>
        <w:t>规定。</w:t>
      </w:r>
    </w:p>
    <w:p w14:paraId="75041A32">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 xml:space="preserve">18  </w:t>
      </w:r>
      <w:r>
        <w:rPr>
          <w:rFonts w:hint="eastAsia" w:ascii="黑体" w:hAnsi="黑体" w:eastAsia="黑体"/>
          <w:bCs/>
          <w:color w:val="000000" w:themeColor="text1"/>
          <w14:textFill>
            <w14:solidFill>
              <w14:schemeClr w14:val="tx1"/>
            </w14:solidFill>
          </w14:textFill>
        </w:rPr>
        <w:t>各部位放线允许偏差</w:t>
      </w:r>
    </w:p>
    <w:tbl>
      <w:tblPr>
        <w:tblStyle w:val="29"/>
        <w:tblW w:w="3565" w:type="pct"/>
        <w:jc w:val="center"/>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2913"/>
        <w:gridCol w:w="2668"/>
      </w:tblGrid>
      <w:tr w14:paraId="5868733B">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6" w:type="dxa"/>
            <w:gridSpan w:val="2"/>
            <w:tcBorders>
              <w:top w:val="single" w:color="auto" w:sz="8" w:space="0"/>
              <w:left w:val="single" w:color="auto" w:sz="4" w:space="0"/>
            </w:tcBorders>
            <w:vAlign w:val="center"/>
          </w:tcPr>
          <w:p w14:paraId="3CF402E2">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项目</w:t>
            </w:r>
          </w:p>
        </w:tc>
        <w:tc>
          <w:tcPr>
            <w:tcW w:w="2668" w:type="dxa"/>
            <w:tcBorders>
              <w:top w:val="single" w:color="auto" w:sz="8" w:space="0"/>
            </w:tcBorders>
            <w:vAlign w:val="center"/>
          </w:tcPr>
          <w:p w14:paraId="6DC5ABAF">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允许</w:t>
            </w:r>
            <w:r>
              <w:rPr>
                <w:rFonts w:hint="eastAsia" w:ascii="宋体" w:hAnsi="宋体"/>
                <w:color w:val="000000" w:themeColor="text1"/>
                <w:sz w:val="18"/>
                <w:szCs w:val="18"/>
                <w14:textFill>
                  <w14:solidFill>
                    <w14:schemeClr w14:val="tx1"/>
                  </w14:solidFill>
                </w14:textFill>
              </w:rPr>
              <w:t>偏</w:t>
            </w:r>
            <w:r>
              <w:rPr>
                <w:rFonts w:ascii="宋体" w:hAnsi="宋体"/>
                <w:color w:val="000000" w:themeColor="text1"/>
                <w:sz w:val="18"/>
                <w:szCs w:val="18"/>
                <w14:textFill>
                  <w14:solidFill>
                    <w14:schemeClr w14:val="tx1"/>
                  </w14:solidFill>
                </w14:textFill>
              </w:rPr>
              <w:t>差</w:t>
            </w: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mm</w:t>
            </w:r>
          </w:p>
        </w:tc>
      </w:tr>
      <w:tr w14:paraId="4C26988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restart"/>
            <w:tcBorders>
              <w:left w:val="single" w:color="auto" w:sz="4" w:space="0"/>
            </w:tcBorders>
            <w:tcMar>
              <w:left w:w="0" w:type="dxa"/>
              <w:right w:w="0" w:type="dxa"/>
            </w:tcMar>
            <w:vAlign w:val="center"/>
          </w:tcPr>
          <w:p w14:paraId="765A6657">
            <w:pPr>
              <w:spacing w:line="240" w:lineRule="auto"/>
              <w:jc w:val="center"/>
              <w:rPr>
                <w:rFonts w:ascii="宋体" w:hAnsi="宋体"/>
                <w:i/>
                <w:i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外廓主轴线长度</w:t>
            </w:r>
            <w:r>
              <w:rPr>
                <w:rFonts w:ascii="宋体" w:hAnsi="宋体"/>
                <w:i/>
                <w:iCs/>
                <w:color w:val="000000" w:themeColor="text1"/>
                <w:sz w:val="18"/>
                <w:szCs w:val="18"/>
                <w14:textFill>
                  <w14:solidFill>
                    <w14:schemeClr w14:val="tx1"/>
                  </w14:solidFill>
                </w14:textFill>
              </w:rPr>
              <w:t>L</w:t>
            </w:r>
          </w:p>
          <w:p w14:paraId="50E8307E">
            <w:pPr>
              <w:spacing w:line="240" w:lineRule="auto"/>
              <w:jc w:val="center"/>
              <w:rPr>
                <w:rFonts w:ascii="宋体" w:hAnsi="宋体"/>
                <w:i/>
                <w:iCs/>
                <w:color w:val="000000" w:themeColor="text1"/>
                <w:sz w:val="18"/>
                <w:szCs w:val="18"/>
                <w14:textFill>
                  <w14:solidFill>
                    <w14:schemeClr w14:val="tx1"/>
                  </w14:solidFill>
                </w14:textFill>
              </w:rPr>
            </w:pPr>
            <w:r>
              <w:rPr>
                <w:rFonts w:ascii="宋体" w:hAnsi="宋体"/>
                <w:i/>
                <w:iCs/>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m</w:t>
            </w:r>
            <w:r>
              <w:rPr>
                <w:rFonts w:ascii="宋体" w:hAnsi="宋体"/>
                <w:i/>
                <w:iCs/>
                <w:color w:val="000000" w:themeColor="text1"/>
                <w:sz w:val="18"/>
                <w:szCs w:val="18"/>
                <w14:textFill>
                  <w14:solidFill>
                    <w14:schemeClr w14:val="tx1"/>
                  </w14:solidFill>
                </w14:textFill>
              </w:rPr>
              <w:t>）</w:t>
            </w:r>
          </w:p>
        </w:tc>
        <w:tc>
          <w:tcPr>
            <w:tcW w:w="2913" w:type="dxa"/>
            <w:tcBorders>
              <w:left w:val="nil"/>
            </w:tcBorders>
            <w:tcMar>
              <w:left w:w="0" w:type="dxa"/>
              <w:right w:w="0" w:type="dxa"/>
            </w:tcMar>
            <w:vAlign w:val="center"/>
          </w:tcPr>
          <w:p w14:paraId="4A2CE17D">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≤30</w:t>
            </w:r>
          </w:p>
        </w:tc>
        <w:tc>
          <w:tcPr>
            <w:tcW w:w="2668" w:type="dxa"/>
            <w:tcMar>
              <w:left w:w="0" w:type="dxa"/>
              <w:right w:w="0" w:type="dxa"/>
            </w:tcMar>
            <w:vAlign w:val="center"/>
          </w:tcPr>
          <w:p w14:paraId="1EC767CC">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w:t>
            </w:r>
          </w:p>
        </w:tc>
      </w:tr>
      <w:tr w14:paraId="1D3914A9">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61CBF4F7">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017AE4D4">
            <w:pPr>
              <w:spacing w:line="240" w:lineRule="auto"/>
              <w:ind w:left="-29" w:leftChars="-14"/>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≤60</w:t>
            </w:r>
          </w:p>
        </w:tc>
        <w:tc>
          <w:tcPr>
            <w:tcW w:w="2668" w:type="dxa"/>
            <w:tcMar>
              <w:left w:w="0" w:type="dxa"/>
              <w:right w:w="0" w:type="dxa"/>
            </w:tcMar>
            <w:vAlign w:val="center"/>
          </w:tcPr>
          <w:p w14:paraId="7164FC4A">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±8</w:t>
            </w:r>
          </w:p>
        </w:tc>
      </w:tr>
      <w:tr w14:paraId="60F465F7">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593685E9">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3378B73A">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60＜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≤90</w:t>
            </w:r>
          </w:p>
        </w:tc>
        <w:tc>
          <w:tcPr>
            <w:tcW w:w="2668" w:type="dxa"/>
            <w:tcMar>
              <w:left w:w="0" w:type="dxa"/>
              <w:right w:w="0" w:type="dxa"/>
            </w:tcMar>
            <w:vAlign w:val="center"/>
          </w:tcPr>
          <w:p w14:paraId="61574E0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w:t>
            </w:r>
          </w:p>
        </w:tc>
      </w:tr>
      <w:tr w14:paraId="1140CA8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0E49023D">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4E650D08">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90＜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≤120</w:t>
            </w:r>
          </w:p>
        </w:tc>
        <w:tc>
          <w:tcPr>
            <w:tcW w:w="2668" w:type="dxa"/>
            <w:tcMar>
              <w:left w:w="0" w:type="dxa"/>
              <w:right w:w="0" w:type="dxa"/>
            </w:tcMar>
            <w:vAlign w:val="center"/>
          </w:tcPr>
          <w:p w14:paraId="09C0FFAE">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±16</w:t>
            </w:r>
          </w:p>
        </w:tc>
      </w:tr>
      <w:tr w14:paraId="27F2CF0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375DE48F">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12FE6D8E">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120＜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≤150</w:t>
            </w:r>
          </w:p>
        </w:tc>
        <w:tc>
          <w:tcPr>
            <w:tcW w:w="2668" w:type="dxa"/>
            <w:tcMar>
              <w:left w:w="0" w:type="dxa"/>
              <w:right w:w="0" w:type="dxa"/>
            </w:tcMar>
            <w:vAlign w:val="center"/>
          </w:tcPr>
          <w:p w14:paraId="6F6DCEB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±20</w:t>
            </w:r>
          </w:p>
        </w:tc>
      </w:tr>
      <w:tr w14:paraId="383929D2">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1C657524">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744009D6">
            <w:pPr>
              <w:spacing w:line="240" w:lineRule="auto"/>
              <w:jc w:val="center"/>
              <w:rPr>
                <w:rFonts w:ascii="宋体" w:hAnsi="宋体"/>
                <w:b/>
                <w:bCs/>
                <w:color w:val="000000" w:themeColor="text1"/>
                <w:position w:val="-6"/>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150＜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≤300</w:t>
            </w:r>
          </w:p>
        </w:tc>
        <w:tc>
          <w:tcPr>
            <w:tcW w:w="2668" w:type="dxa"/>
            <w:tcMar>
              <w:left w:w="0" w:type="dxa"/>
              <w:right w:w="0" w:type="dxa"/>
            </w:tcMar>
            <w:vAlign w:val="center"/>
          </w:tcPr>
          <w:p w14:paraId="270881A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±24</w:t>
            </w:r>
          </w:p>
        </w:tc>
      </w:tr>
      <w:tr w14:paraId="366C86D5">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03F884F5">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3FEAB545">
            <w:pPr>
              <w:spacing w:line="240" w:lineRule="auto"/>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300＜</w:t>
            </w:r>
            <w:r>
              <w:rPr>
                <w:rFonts w:ascii="宋体" w:hAnsi="宋体"/>
                <w:i/>
                <w:color w:val="000000" w:themeColor="text1"/>
                <w:sz w:val="18"/>
                <w:szCs w:val="18"/>
                <w14:textFill>
                  <w14:solidFill>
                    <w14:schemeClr w14:val="tx1"/>
                  </w14:solidFill>
                </w14:textFill>
              </w:rPr>
              <w:t>L</w:t>
            </w:r>
            <w:r>
              <w:rPr>
                <w:rFonts w:ascii="宋体" w:hAnsi="宋体"/>
                <w:color w:val="000000" w:themeColor="text1"/>
                <w:sz w:val="18"/>
                <w:szCs w:val="18"/>
                <w14:textFill>
                  <w14:solidFill>
                    <w14:schemeClr w14:val="tx1"/>
                  </w14:solidFill>
                </w14:textFill>
              </w:rPr>
              <w:t>≤500</w:t>
            </w:r>
          </w:p>
        </w:tc>
        <w:tc>
          <w:tcPr>
            <w:tcW w:w="2668" w:type="dxa"/>
            <w:tcMar>
              <w:left w:w="0" w:type="dxa"/>
              <w:right w:w="0" w:type="dxa"/>
            </w:tcMar>
            <w:vAlign w:val="center"/>
          </w:tcPr>
          <w:p w14:paraId="1B40E56C">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±L/12500</w:t>
            </w:r>
          </w:p>
        </w:tc>
      </w:tr>
      <w:tr w14:paraId="23083751">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vMerge w:val="continue"/>
            <w:tcBorders>
              <w:left w:val="single" w:color="auto" w:sz="4" w:space="0"/>
            </w:tcBorders>
            <w:vAlign w:val="center"/>
          </w:tcPr>
          <w:p w14:paraId="519B1E95">
            <w:pPr>
              <w:spacing w:line="240" w:lineRule="auto"/>
              <w:ind w:right="630" w:rightChars="300"/>
              <w:rPr>
                <w:rFonts w:ascii="宋体" w:hAnsi="宋体"/>
                <w:b/>
                <w:bCs/>
                <w:color w:val="000000" w:themeColor="text1"/>
                <w:sz w:val="18"/>
                <w:szCs w:val="18"/>
                <w14:textFill>
                  <w14:solidFill>
                    <w14:schemeClr w14:val="tx1"/>
                  </w14:solidFill>
                </w14:textFill>
              </w:rPr>
            </w:pPr>
          </w:p>
        </w:tc>
        <w:tc>
          <w:tcPr>
            <w:tcW w:w="2913" w:type="dxa"/>
            <w:tcBorders>
              <w:left w:val="nil"/>
            </w:tcBorders>
            <w:tcMar>
              <w:left w:w="0" w:type="dxa"/>
              <w:right w:w="0" w:type="dxa"/>
            </w:tcMar>
            <w:vAlign w:val="center"/>
          </w:tcPr>
          <w:p w14:paraId="0B1E4691">
            <w:pPr>
              <w:spacing w:line="240" w:lineRule="auto"/>
              <w:jc w:val="center"/>
              <w:rPr>
                <w:rFonts w:ascii="宋体" w:hAnsi="宋体"/>
                <w:b/>
                <w:bCs/>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500＜</w:t>
            </w:r>
            <w:r>
              <w:rPr>
                <w:rFonts w:ascii="宋体" w:hAnsi="宋体"/>
                <w:i/>
                <w:color w:val="000000" w:themeColor="text1"/>
                <w:sz w:val="18"/>
                <w:szCs w:val="18"/>
                <w14:textFill>
                  <w14:solidFill>
                    <w14:schemeClr w14:val="tx1"/>
                  </w14:solidFill>
                </w14:textFill>
              </w:rPr>
              <w:t>L</w:t>
            </w:r>
          </w:p>
        </w:tc>
        <w:tc>
          <w:tcPr>
            <w:tcW w:w="2668" w:type="dxa"/>
            <w:tcMar>
              <w:left w:w="0" w:type="dxa"/>
              <w:right w:w="0" w:type="dxa"/>
            </w:tcMar>
            <w:vAlign w:val="center"/>
          </w:tcPr>
          <w:p w14:paraId="449C4FDC">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±40</w:t>
            </w:r>
          </w:p>
        </w:tc>
      </w:tr>
      <w:tr w14:paraId="607AB681">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6" w:type="dxa"/>
            <w:gridSpan w:val="2"/>
            <w:tcBorders>
              <w:left w:val="single" w:color="auto" w:sz="4" w:space="0"/>
            </w:tcBorders>
            <w:vAlign w:val="center"/>
          </w:tcPr>
          <w:p w14:paraId="61F7A7AB">
            <w:pPr>
              <w:spacing w:line="240" w:lineRule="auto"/>
              <w:ind w:left="-29" w:leftChars="-14"/>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细部轴线</w:t>
            </w:r>
          </w:p>
        </w:tc>
        <w:tc>
          <w:tcPr>
            <w:tcW w:w="2668" w:type="dxa"/>
            <w:tcMar>
              <w:left w:w="0" w:type="dxa"/>
              <w:right w:w="0" w:type="dxa"/>
            </w:tcMar>
            <w:vAlign w:val="center"/>
          </w:tcPr>
          <w:p w14:paraId="1C67D36E">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±2</w:t>
            </w:r>
          </w:p>
        </w:tc>
      </w:tr>
      <w:tr w14:paraId="50536AD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6" w:type="dxa"/>
            <w:gridSpan w:val="2"/>
            <w:tcBorders>
              <w:left w:val="single" w:color="auto" w:sz="4" w:space="0"/>
            </w:tcBorders>
            <w:vAlign w:val="center"/>
          </w:tcPr>
          <w:p w14:paraId="304E6BEF">
            <w:pPr>
              <w:spacing w:line="240" w:lineRule="auto"/>
              <w:ind w:left="-29" w:leftChars="-14"/>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承重墙、梁、柱边线</w:t>
            </w:r>
            <w:r>
              <w:rPr>
                <w:rFonts w:hint="eastAsia" w:ascii="宋体" w:hAnsi="宋体"/>
                <w:color w:val="000000" w:themeColor="text1"/>
                <w:sz w:val="18"/>
                <w:szCs w:val="18"/>
                <w14:textFill>
                  <w14:solidFill>
                    <w14:schemeClr w14:val="tx1"/>
                  </w14:solidFill>
                </w14:textFill>
              </w:rPr>
              <w:t>，非承重墙边线，门窗洞口线</w:t>
            </w:r>
          </w:p>
        </w:tc>
        <w:tc>
          <w:tcPr>
            <w:tcW w:w="2668" w:type="dxa"/>
            <w:tcMar>
              <w:left w:w="0" w:type="dxa"/>
              <w:right w:w="0" w:type="dxa"/>
            </w:tcMar>
            <w:vAlign w:val="center"/>
          </w:tcPr>
          <w:p w14:paraId="0242F82A">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w:t>
            </w:r>
          </w:p>
        </w:tc>
      </w:tr>
    </w:tbl>
    <w:p w14:paraId="3B1DFB0F">
      <w:pPr>
        <w:pStyle w:val="69"/>
        <w:spacing w:before="120" w:after="120"/>
        <w:ind w:left="0"/>
        <w:rPr>
          <w:rFonts w:ascii="宋体" w:hAnsi="宋体" w:eastAsia="宋体"/>
        </w:rPr>
      </w:pPr>
      <w:r>
        <w:rPr>
          <w:rFonts w:hint="eastAsia" w:ascii="宋体" w:hAnsi="宋体" w:eastAsia="宋体"/>
        </w:rPr>
        <w:t>建筑结构墙、柱、梁、门窗等细部放样时，应放样出细部结构边线，及相对应的边线控制线。施工中放样的轴线、标高、细部线，应标识清楚明晰。</w:t>
      </w:r>
    </w:p>
    <w:p w14:paraId="792DEE0B">
      <w:pPr>
        <w:pStyle w:val="69"/>
        <w:spacing w:before="120" w:after="120"/>
        <w:ind w:left="0"/>
        <w:rPr>
          <w:rFonts w:ascii="宋体" w:hAnsi="宋体" w:eastAsia="宋体"/>
        </w:rPr>
      </w:pPr>
      <w:r>
        <w:rPr>
          <w:rFonts w:hint="eastAsia" w:ascii="宋体" w:hAnsi="宋体" w:eastAsia="宋体"/>
        </w:rPr>
        <w:t>墙柱结构支模后，应校测模板的平面位置及垂直度，允许偏差不应超过</w:t>
      </w:r>
      <w:r>
        <w:rPr>
          <w:rFonts w:ascii="宋体" w:hAnsi="宋体" w:eastAsia="宋体"/>
        </w:rPr>
        <w:t>3</w:t>
      </w:r>
      <w:r>
        <w:rPr>
          <w:rFonts w:hint="eastAsia" w:ascii="宋体" w:hAnsi="宋体" w:eastAsia="宋体"/>
        </w:rPr>
        <w:t>mm。</w:t>
      </w:r>
    </w:p>
    <w:p w14:paraId="124D264E">
      <w:pPr>
        <w:pStyle w:val="69"/>
        <w:spacing w:before="120" w:after="120"/>
        <w:ind w:left="0"/>
        <w:rPr>
          <w:rFonts w:ascii="宋体" w:hAnsi="宋体" w:eastAsia="宋体"/>
        </w:rPr>
      </w:pPr>
      <w:r>
        <w:rPr>
          <w:rFonts w:hint="eastAsia" w:ascii="宋体" w:hAnsi="宋体" w:eastAsia="宋体"/>
        </w:rPr>
        <w:t>核心筒爬模施工测量宜在核心筒四角设置内控点，采用激光铅垂设备进行竖向传递，在作业层设置支架接收控制点，控制点不能少于</w:t>
      </w:r>
      <w:r>
        <w:rPr>
          <w:rFonts w:ascii="宋体" w:hAnsi="宋体" w:eastAsia="宋体"/>
        </w:rPr>
        <w:t>4</w:t>
      </w:r>
      <w:r>
        <w:rPr>
          <w:rFonts w:hint="eastAsia" w:ascii="宋体" w:hAnsi="宋体" w:eastAsia="宋体"/>
        </w:rPr>
        <w:t>个，并组成几何图形，便于校核。</w:t>
      </w:r>
    </w:p>
    <w:p w14:paraId="03722BB5">
      <w:pPr>
        <w:pStyle w:val="69"/>
        <w:spacing w:before="120" w:after="120"/>
        <w:ind w:left="0"/>
        <w:rPr>
          <w:rFonts w:ascii="宋体" w:hAnsi="宋体" w:eastAsia="宋体"/>
        </w:rPr>
      </w:pPr>
      <w:r>
        <w:rPr>
          <w:rFonts w:hint="eastAsia" w:ascii="宋体" w:hAnsi="宋体" w:eastAsia="宋体"/>
        </w:rPr>
        <w:t>核心筒爬模施工墙体混凝土浇筑完整后，应将测量控制点及时引测至核心筒立面，设置核心筒大角线及标高控制点，指导下一层施工。</w:t>
      </w:r>
    </w:p>
    <w:p w14:paraId="097D0E15">
      <w:pPr>
        <w:pStyle w:val="69"/>
        <w:spacing w:before="120" w:after="120"/>
        <w:ind w:left="0"/>
        <w:rPr>
          <w:rFonts w:ascii="宋体" w:hAnsi="宋体" w:eastAsia="宋体"/>
        </w:rPr>
      </w:pPr>
      <w:r>
        <w:rPr>
          <w:rFonts w:hint="eastAsia" w:ascii="宋体" w:hAnsi="宋体" w:eastAsia="宋体"/>
        </w:rPr>
        <w:t>爬模施工混凝土结构允许偏差应符合表</w:t>
      </w:r>
      <w:r>
        <w:rPr>
          <w:rFonts w:ascii="宋体" w:hAnsi="宋体" w:eastAsia="宋体"/>
        </w:rPr>
        <w:t>19</w:t>
      </w:r>
      <w:r>
        <w:rPr>
          <w:rFonts w:hint="eastAsia" w:ascii="宋体" w:hAnsi="宋体" w:eastAsia="宋体"/>
        </w:rPr>
        <w:t>的规定。</w:t>
      </w:r>
    </w:p>
    <w:p w14:paraId="15E19E39">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 xml:space="preserve">19 </w:t>
      </w:r>
      <w:r>
        <w:rPr>
          <w:rFonts w:hint="eastAsia" w:ascii="黑体" w:hAnsi="黑体" w:eastAsia="黑体"/>
          <w:bCs/>
          <w:color w:val="000000" w:themeColor="text1"/>
          <w14:textFill>
            <w14:solidFill>
              <w14:schemeClr w14:val="tx1"/>
            </w14:solidFill>
          </w14:textFill>
        </w:rPr>
        <w:t>爬模施工混凝土结构允许偏差</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1624"/>
        <w:gridCol w:w="1467"/>
        <w:gridCol w:w="2437"/>
      </w:tblGrid>
      <w:tr w14:paraId="0C664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96" w:type="dxa"/>
            <w:gridSpan w:val="3"/>
            <w:vAlign w:val="center"/>
          </w:tcPr>
          <w:p w14:paraId="19F5E099">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项目</w:t>
            </w:r>
          </w:p>
        </w:tc>
        <w:tc>
          <w:tcPr>
            <w:tcW w:w="2056" w:type="dxa"/>
            <w:vAlign w:val="center"/>
          </w:tcPr>
          <w:p w14:paraId="124CB59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允许偏差/</w:t>
            </w:r>
            <w:r>
              <w:rPr>
                <w:rFonts w:ascii="宋体" w:hAnsi="宋体"/>
                <w:color w:val="000000" w:themeColor="text1"/>
                <w:sz w:val="18"/>
                <w:szCs w:val="18"/>
                <w14:textFill>
                  <w14:solidFill>
                    <w14:schemeClr w14:val="tx1"/>
                  </w14:solidFill>
                </w14:textFill>
              </w:rPr>
              <w:t>mm</w:t>
            </w:r>
          </w:p>
        </w:tc>
      </w:tr>
      <w:tr w14:paraId="1EC09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Align w:val="center"/>
          </w:tcPr>
          <w:p w14:paraId="21D7519B">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轴线位移</w:t>
            </w:r>
          </w:p>
        </w:tc>
        <w:tc>
          <w:tcPr>
            <w:tcW w:w="2608" w:type="dxa"/>
            <w:gridSpan w:val="2"/>
            <w:vAlign w:val="center"/>
          </w:tcPr>
          <w:p w14:paraId="1044B76E">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墙、柱、梁</w:t>
            </w:r>
          </w:p>
        </w:tc>
        <w:tc>
          <w:tcPr>
            <w:tcW w:w="2056" w:type="dxa"/>
            <w:vAlign w:val="center"/>
          </w:tcPr>
          <w:p w14:paraId="21FF41F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5</w:t>
            </w:r>
          </w:p>
        </w:tc>
      </w:tr>
      <w:tr w14:paraId="297A4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restart"/>
            <w:vAlign w:val="center"/>
          </w:tcPr>
          <w:p w14:paraId="387009AF">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垂直度</w:t>
            </w:r>
          </w:p>
        </w:tc>
        <w:tc>
          <w:tcPr>
            <w:tcW w:w="1370" w:type="dxa"/>
            <w:vMerge w:val="restart"/>
            <w:vAlign w:val="center"/>
          </w:tcPr>
          <w:p w14:paraId="4A3CDE8B">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层高</w:t>
            </w:r>
          </w:p>
        </w:tc>
        <w:tc>
          <w:tcPr>
            <w:tcW w:w="1238" w:type="dxa"/>
            <w:vAlign w:val="center"/>
          </w:tcPr>
          <w:p w14:paraId="4C975EF2">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≤5</w:t>
            </w:r>
            <w:r>
              <w:rPr>
                <w:rFonts w:hint="eastAsia" w:ascii="宋体" w:hAnsi="宋体"/>
                <w:color w:val="000000" w:themeColor="text1"/>
                <w:sz w:val="18"/>
                <w:szCs w:val="18"/>
                <w14:textFill>
                  <w14:solidFill>
                    <w14:schemeClr w14:val="tx1"/>
                  </w14:solidFill>
                </w14:textFill>
              </w:rPr>
              <w:t>m</w:t>
            </w:r>
          </w:p>
        </w:tc>
        <w:tc>
          <w:tcPr>
            <w:tcW w:w="2056" w:type="dxa"/>
            <w:vAlign w:val="center"/>
          </w:tcPr>
          <w:p w14:paraId="27DA1FDE">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6</w:t>
            </w:r>
          </w:p>
        </w:tc>
      </w:tr>
      <w:tr w14:paraId="2DD4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continue"/>
            <w:vAlign w:val="center"/>
          </w:tcPr>
          <w:p w14:paraId="48231F37">
            <w:pPr>
              <w:spacing w:line="240" w:lineRule="auto"/>
              <w:jc w:val="center"/>
              <w:rPr>
                <w:rFonts w:ascii="宋体" w:hAnsi="宋体"/>
                <w:color w:val="000000" w:themeColor="text1"/>
                <w:sz w:val="18"/>
                <w:szCs w:val="18"/>
                <w14:textFill>
                  <w14:solidFill>
                    <w14:schemeClr w14:val="tx1"/>
                  </w14:solidFill>
                </w14:textFill>
              </w:rPr>
            </w:pPr>
          </w:p>
        </w:tc>
        <w:tc>
          <w:tcPr>
            <w:tcW w:w="1370" w:type="dxa"/>
            <w:vMerge w:val="continue"/>
            <w:vAlign w:val="center"/>
          </w:tcPr>
          <w:p w14:paraId="3C316087">
            <w:pPr>
              <w:spacing w:line="240" w:lineRule="auto"/>
              <w:jc w:val="center"/>
              <w:rPr>
                <w:rFonts w:ascii="宋体" w:hAnsi="宋体"/>
                <w:color w:val="000000" w:themeColor="text1"/>
                <w:sz w:val="18"/>
                <w:szCs w:val="18"/>
                <w14:textFill>
                  <w14:solidFill>
                    <w14:schemeClr w14:val="tx1"/>
                  </w14:solidFill>
                </w14:textFill>
              </w:rPr>
            </w:pPr>
          </w:p>
        </w:tc>
        <w:tc>
          <w:tcPr>
            <w:tcW w:w="1238" w:type="dxa"/>
            <w:vAlign w:val="center"/>
          </w:tcPr>
          <w:p w14:paraId="2610C600">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ascii="宋体" w:hAnsi="宋体"/>
                <w:color w:val="000000" w:themeColor="text1"/>
                <w:sz w:val="18"/>
                <w:szCs w:val="18"/>
                <w14:textFill>
                  <w14:solidFill>
                    <w14:schemeClr w14:val="tx1"/>
                  </w14:solidFill>
                </w14:textFill>
              </w:rPr>
              <w:t>5</w:t>
            </w:r>
            <w:r>
              <w:rPr>
                <w:rFonts w:hint="eastAsia" w:ascii="宋体" w:hAnsi="宋体"/>
                <w:color w:val="000000" w:themeColor="text1"/>
                <w:sz w:val="18"/>
                <w:szCs w:val="18"/>
                <w14:textFill>
                  <w14:solidFill>
                    <w14:schemeClr w14:val="tx1"/>
                  </w14:solidFill>
                </w14:textFill>
              </w:rPr>
              <w:t>m</w:t>
            </w:r>
          </w:p>
        </w:tc>
        <w:tc>
          <w:tcPr>
            <w:tcW w:w="2056" w:type="dxa"/>
            <w:vAlign w:val="center"/>
          </w:tcPr>
          <w:p w14:paraId="48DA3E4D">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8</w:t>
            </w:r>
          </w:p>
        </w:tc>
      </w:tr>
      <w:tr w14:paraId="5B9B0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continue"/>
            <w:vAlign w:val="center"/>
          </w:tcPr>
          <w:p w14:paraId="0CDCA2DE">
            <w:pPr>
              <w:spacing w:line="240" w:lineRule="auto"/>
              <w:jc w:val="center"/>
              <w:rPr>
                <w:rFonts w:ascii="宋体" w:hAnsi="宋体"/>
                <w:color w:val="000000" w:themeColor="text1"/>
                <w:sz w:val="18"/>
                <w:szCs w:val="18"/>
                <w14:textFill>
                  <w14:solidFill>
                    <w14:schemeClr w14:val="tx1"/>
                  </w14:solidFill>
                </w14:textFill>
              </w:rPr>
            </w:pPr>
          </w:p>
        </w:tc>
        <w:tc>
          <w:tcPr>
            <w:tcW w:w="2608" w:type="dxa"/>
            <w:gridSpan w:val="2"/>
            <w:vAlign w:val="center"/>
          </w:tcPr>
          <w:p w14:paraId="63B07505">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全高（</w:t>
            </w:r>
            <w:r>
              <w:rPr>
                <w:rFonts w:hint="eastAsia" w:ascii="宋体" w:hAnsi="宋体"/>
                <w:i/>
                <w:color w:val="000000" w:themeColor="text1"/>
                <w:sz w:val="18"/>
                <w:szCs w:val="18"/>
                <w14:textFill>
                  <w14:solidFill>
                    <w14:schemeClr w14:val="tx1"/>
                  </w14:solidFill>
                </w14:textFill>
              </w:rPr>
              <w:t>H</w:t>
            </w:r>
            <w:r>
              <w:rPr>
                <w:rFonts w:hint="eastAsia" w:ascii="宋体" w:hAnsi="宋体"/>
                <w:color w:val="000000" w:themeColor="text1"/>
                <w:sz w:val="18"/>
                <w:szCs w:val="18"/>
                <w14:textFill>
                  <w14:solidFill>
                    <w14:schemeClr w14:val="tx1"/>
                  </w14:solidFill>
                </w14:textFill>
              </w:rPr>
              <w:t>）</w:t>
            </w:r>
          </w:p>
        </w:tc>
        <w:tc>
          <w:tcPr>
            <w:tcW w:w="2056" w:type="dxa"/>
            <w:vAlign w:val="center"/>
          </w:tcPr>
          <w:p w14:paraId="07F6C1B4">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i/>
                <w:color w:val="000000" w:themeColor="text1"/>
                <w:sz w:val="18"/>
                <w:szCs w:val="18"/>
                <w14:textFill>
                  <w14:solidFill>
                    <w14:schemeClr w14:val="tx1"/>
                  </w14:solidFill>
                </w14:textFill>
              </w:rPr>
              <w:t>H</w:t>
            </w:r>
            <w:r>
              <w:rPr>
                <w:rFonts w:ascii="宋体" w:hAnsi="宋体"/>
                <w:color w:val="000000" w:themeColor="text1"/>
                <w:sz w:val="18"/>
                <w:szCs w:val="18"/>
                <w14:textFill>
                  <w14:solidFill>
                    <w14:schemeClr w14:val="tx1"/>
                  </w14:solidFill>
                </w14:textFill>
              </w:rPr>
              <w:t>/1000</w:t>
            </w:r>
            <w:r>
              <w:rPr>
                <w:rFonts w:hint="eastAsia" w:ascii="宋体" w:hAnsi="宋体"/>
                <w:color w:val="000000" w:themeColor="text1"/>
                <w:sz w:val="18"/>
                <w:szCs w:val="18"/>
                <w14:textFill>
                  <w14:solidFill>
                    <w14:schemeClr w14:val="tx1"/>
                  </w14:solidFill>
                </w14:textFill>
              </w:rPr>
              <w:t>且</w:t>
            </w:r>
            <w:r>
              <w:rPr>
                <w:rFonts w:ascii="宋体" w:hAnsi="宋体"/>
                <w:color w:val="000000" w:themeColor="text1"/>
                <w:sz w:val="18"/>
                <w:szCs w:val="18"/>
                <w14:textFill>
                  <w14:solidFill>
                    <w14:schemeClr w14:val="tx1"/>
                  </w14:solidFill>
                </w14:textFill>
              </w:rPr>
              <w:t>≤30</w:t>
            </w:r>
          </w:p>
        </w:tc>
      </w:tr>
      <w:tr w14:paraId="44C80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restart"/>
            <w:vAlign w:val="center"/>
          </w:tcPr>
          <w:p w14:paraId="4025F100">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标高</w:t>
            </w:r>
          </w:p>
        </w:tc>
        <w:tc>
          <w:tcPr>
            <w:tcW w:w="2608" w:type="dxa"/>
            <w:gridSpan w:val="2"/>
            <w:vAlign w:val="center"/>
          </w:tcPr>
          <w:p w14:paraId="63B1A3D9">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层高</w:t>
            </w:r>
          </w:p>
        </w:tc>
        <w:tc>
          <w:tcPr>
            <w:tcW w:w="2056" w:type="dxa"/>
            <w:vAlign w:val="center"/>
          </w:tcPr>
          <w:p w14:paraId="4AC9AB23">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±10</w:t>
            </w:r>
          </w:p>
        </w:tc>
      </w:tr>
      <w:tr w14:paraId="7EEC9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continue"/>
            <w:vAlign w:val="center"/>
          </w:tcPr>
          <w:p w14:paraId="02204858">
            <w:pPr>
              <w:spacing w:line="240" w:lineRule="auto"/>
              <w:jc w:val="center"/>
              <w:rPr>
                <w:rFonts w:ascii="宋体" w:hAnsi="宋体"/>
                <w:color w:val="000000" w:themeColor="text1"/>
                <w:sz w:val="18"/>
                <w:szCs w:val="18"/>
                <w14:textFill>
                  <w14:solidFill>
                    <w14:schemeClr w14:val="tx1"/>
                  </w14:solidFill>
                </w14:textFill>
              </w:rPr>
            </w:pPr>
          </w:p>
        </w:tc>
        <w:tc>
          <w:tcPr>
            <w:tcW w:w="2608" w:type="dxa"/>
            <w:gridSpan w:val="2"/>
            <w:vAlign w:val="center"/>
          </w:tcPr>
          <w:p w14:paraId="7C5501F6">
            <w:pPr>
              <w:spacing w:line="240" w:lineRule="auto"/>
              <w:jc w:val="cente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全高</w:t>
            </w:r>
          </w:p>
        </w:tc>
        <w:tc>
          <w:tcPr>
            <w:tcW w:w="2056" w:type="dxa"/>
            <w:vAlign w:val="center"/>
          </w:tcPr>
          <w:p w14:paraId="67FD8CA1">
            <w:pPr>
              <w:spacing w:line="240" w:lineRule="auto"/>
              <w:jc w:val="center"/>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±30</w:t>
            </w:r>
          </w:p>
        </w:tc>
      </w:tr>
    </w:tbl>
    <w:p w14:paraId="3A3C0A7B">
      <w:pPr>
        <w:pStyle w:val="109"/>
        <w:spacing w:before="120" w:after="120"/>
        <w:ind w:left="0"/>
      </w:pPr>
      <w:bookmarkStart w:id="90" w:name="_Toc203213052"/>
      <w:r>
        <w:rPr>
          <w:rFonts w:hint="eastAsia"/>
        </w:rPr>
        <w:t>钢结构安装测量</w:t>
      </w:r>
      <w:bookmarkEnd w:id="90"/>
    </w:p>
    <w:p w14:paraId="5CFD4FD2">
      <w:pPr>
        <w:pStyle w:val="69"/>
        <w:spacing w:before="120" w:after="120"/>
        <w:ind w:left="0"/>
        <w:rPr>
          <w:rFonts w:ascii="宋体" w:hAnsi="宋体" w:eastAsia="宋体"/>
        </w:rPr>
      </w:pPr>
      <w:r>
        <w:rPr>
          <w:rFonts w:hint="eastAsia" w:ascii="宋体" w:hAnsi="宋体" w:eastAsia="宋体"/>
        </w:rPr>
        <w:t>钢结构安装前应依据图纸计算测量定位数据，绘制定位简图，测量定位数据和简图均应进行互检校核。</w:t>
      </w:r>
    </w:p>
    <w:p w14:paraId="502F6E36">
      <w:pPr>
        <w:pStyle w:val="69"/>
        <w:spacing w:before="120" w:after="120"/>
        <w:ind w:left="0"/>
        <w:rPr>
          <w:rFonts w:ascii="宋体" w:hAnsi="宋体" w:eastAsia="宋体"/>
        </w:rPr>
      </w:pPr>
      <w:r>
        <w:rPr>
          <w:rFonts w:hint="eastAsia" w:ascii="宋体" w:hAnsi="宋体" w:eastAsia="宋体"/>
        </w:rPr>
        <w:t>钢结构安装前，应复测柱、梁、支撑等主要构件尺寸与中线位置，构件的外形与几何尺寸的允许误差应符合GB 50205的有关规定。</w:t>
      </w:r>
    </w:p>
    <w:p w14:paraId="2E26EB37">
      <w:pPr>
        <w:pStyle w:val="69"/>
        <w:spacing w:before="120" w:after="120"/>
        <w:ind w:left="0"/>
        <w:rPr>
          <w:rFonts w:ascii="宋体" w:hAnsi="宋体" w:eastAsia="宋体"/>
        </w:rPr>
      </w:pPr>
      <w:r>
        <w:rPr>
          <w:rFonts w:hint="eastAsia" w:ascii="宋体" w:hAnsi="宋体" w:eastAsia="宋体"/>
        </w:rPr>
        <w:t>首节钢柱安装前，应复测并调整地脚螺栓定位轴线组成的柱格网，其允许偏差不应超过1mm。安装时，柱底定位控制线与地脚螺栓定位轴线间的允许偏差不应超过0.5mm，钢柱顶端纵、横定位轴线允许偏差不应超过1mm。</w:t>
      </w:r>
    </w:p>
    <w:p w14:paraId="159B39EF">
      <w:pPr>
        <w:pStyle w:val="69"/>
        <w:spacing w:before="120" w:after="120"/>
        <w:ind w:left="0"/>
        <w:rPr>
          <w:rFonts w:ascii="宋体" w:hAnsi="宋体" w:eastAsia="宋体"/>
        </w:rPr>
      </w:pPr>
      <w:r>
        <w:rPr>
          <w:rFonts w:hint="eastAsia" w:ascii="宋体" w:hAnsi="宋体" w:eastAsia="宋体"/>
        </w:rPr>
        <w:t>钢结构施工到±0.000时，应复测并调整控制网的坐标和高程，其允许误差不应超过2mm。</w:t>
      </w:r>
    </w:p>
    <w:p w14:paraId="5FBF1DC6">
      <w:pPr>
        <w:pStyle w:val="69"/>
        <w:spacing w:before="120" w:after="120"/>
        <w:ind w:left="0"/>
        <w:rPr>
          <w:rFonts w:ascii="宋体" w:hAnsi="宋体" w:eastAsia="宋体"/>
        </w:rPr>
      </w:pPr>
      <w:r>
        <w:rPr>
          <w:rFonts w:hint="eastAsia" w:ascii="宋体" w:hAnsi="宋体" w:eastAsia="宋体"/>
        </w:rPr>
        <w:t>焊接时，除执行保持柱身垂直度的有关规定外，还应随时进行监测校正，对于10m高的结构柱，垂直度的允许偏差不应超过5mm，结构柱总高（H）的垂直度允许偏差不应超过3H/10000。</w:t>
      </w:r>
    </w:p>
    <w:p w14:paraId="3E4BC915">
      <w:pPr>
        <w:pStyle w:val="69"/>
        <w:spacing w:before="120" w:after="120"/>
        <w:ind w:left="0"/>
        <w:rPr>
          <w:rFonts w:ascii="宋体" w:hAnsi="宋体" w:eastAsia="宋体"/>
        </w:rPr>
      </w:pPr>
      <w:r>
        <w:rPr>
          <w:rFonts w:hint="eastAsia" w:ascii="宋体" w:hAnsi="宋体" w:eastAsia="宋体"/>
        </w:rPr>
        <w:t>柱、梁、支撑等大型构件安装时，应以柱为准，调整梁与支撑。在焊接时应观测与记录下列项目：</w:t>
      </w:r>
    </w:p>
    <w:p w14:paraId="694D0FA4">
      <w:pPr>
        <w:numPr>
          <w:ilvl w:val="0"/>
          <w:numId w:val="43"/>
        </w:numPr>
        <w:adjustRightInd/>
        <w:spacing w:before="120" w:beforeLines="50" w:after="120" w:afterLines="50" w:line="240" w:lineRule="auto"/>
        <w:rPr>
          <w:rFonts w:ascii="宋体" w:hAnsi="宋体"/>
        </w:rPr>
      </w:pPr>
      <w:r>
        <w:rPr>
          <w:rFonts w:hint="eastAsia" w:ascii="宋体" w:hAnsi="宋体"/>
        </w:rPr>
        <w:t>柱与梁焊接缝收缩引起柱身垂直度变化的测定；</w:t>
      </w:r>
    </w:p>
    <w:p w14:paraId="13EBF9D4">
      <w:pPr>
        <w:numPr>
          <w:ilvl w:val="0"/>
          <w:numId w:val="43"/>
        </w:numPr>
        <w:adjustRightInd/>
        <w:spacing w:before="120" w:beforeLines="50" w:after="120" w:afterLines="50" w:line="240" w:lineRule="auto"/>
        <w:rPr>
          <w:rFonts w:ascii="宋体" w:hAnsi="宋体"/>
        </w:rPr>
      </w:pPr>
      <w:r>
        <w:rPr>
          <w:rFonts w:hint="eastAsia" w:ascii="宋体" w:hAnsi="宋体"/>
        </w:rPr>
        <w:t>柱身受日照温差影响变形值；</w:t>
      </w:r>
    </w:p>
    <w:p w14:paraId="7CEF0A77">
      <w:pPr>
        <w:numPr>
          <w:ilvl w:val="0"/>
          <w:numId w:val="43"/>
        </w:numPr>
        <w:adjustRightInd/>
        <w:spacing w:before="120" w:beforeLines="50" w:after="120" w:afterLines="50" w:line="240" w:lineRule="auto"/>
        <w:rPr>
          <w:rFonts w:ascii="宋体" w:hAnsi="宋体"/>
        </w:rPr>
      </w:pPr>
      <w:r>
        <w:rPr>
          <w:rFonts w:hint="eastAsia" w:ascii="宋体" w:hAnsi="宋体"/>
        </w:rPr>
        <w:t>柱身受风力影响的测定。</w:t>
      </w:r>
    </w:p>
    <w:p w14:paraId="7BBFE628">
      <w:pPr>
        <w:pStyle w:val="69"/>
        <w:spacing w:before="120" w:after="120"/>
        <w:ind w:left="0"/>
        <w:rPr>
          <w:rFonts w:ascii="宋体" w:hAnsi="宋体" w:eastAsia="宋体"/>
        </w:rPr>
      </w:pPr>
      <w:r>
        <w:rPr>
          <w:rFonts w:hint="eastAsia" w:ascii="宋体" w:hAnsi="宋体" w:eastAsia="宋体"/>
        </w:rPr>
        <w:t>钢结构施工到100m以上时，宜进行日照变形观测，并绘制出日照变形曲线，列出最小日照变形区间。在150m以上高度的钢结构工程，整体垂直度宜采用卫星定位控制网进行测量复核。</w:t>
      </w:r>
      <w:bookmarkEnd w:id="88"/>
      <w:bookmarkEnd w:id="89"/>
      <w:bookmarkStart w:id="91" w:name="_Toc81571050"/>
      <w:bookmarkStart w:id="92" w:name="_Toc91590492"/>
    </w:p>
    <w:p w14:paraId="3A5B2D00">
      <w:pPr>
        <w:pStyle w:val="109"/>
        <w:spacing w:before="120" w:after="120"/>
        <w:ind w:left="0"/>
      </w:pPr>
      <w:bookmarkStart w:id="93" w:name="_Toc203213053"/>
      <w:r>
        <w:t>归心测量</w:t>
      </w:r>
      <w:bookmarkEnd w:id="91"/>
      <w:bookmarkEnd w:id="92"/>
      <w:bookmarkEnd w:id="93"/>
    </w:p>
    <w:p w14:paraId="7CE9D2DB">
      <w:pPr>
        <w:pStyle w:val="69"/>
        <w:spacing w:before="120" w:after="120"/>
        <w:ind w:left="0"/>
        <w:rPr>
          <w:rFonts w:ascii="宋体" w:hAnsi="宋体" w:eastAsia="宋体"/>
        </w:rPr>
      </w:pPr>
      <w:r>
        <w:rPr>
          <w:rFonts w:hint="eastAsia" w:ascii="宋体" w:hAnsi="宋体" w:eastAsia="宋体"/>
        </w:rPr>
        <w:t>建筑高度大于3</w:t>
      </w:r>
      <w:r>
        <w:rPr>
          <w:rFonts w:ascii="宋体" w:hAnsi="宋体" w:eastAsia="宋体"/>
        </w:rPr>
        <w:t>00</w:t>
      </w:r>
      <w:r>
        <w:rPr>
          <w:rFonts w:hint="eastAsia" w:ascii="宋体" w:hAnsi="宋体" w:eastAsia="宋体"/>
        </w:rPr>
        <w:t>m的建筑，施工至</w:t>
      </w:r>
      <w:r>
        <w:rPr>
          <w:rFonts w:ascii="宋体" w:hAnsi="宋体" w:eastAsia="宋体"/>
        </w:rPr>
        <w:t>100</w:t>
      </w:r>
      <w:r>
        <w:rPr>
          <w:rFonts w:hint="eastAsia" w:ascii="宋体" w:hAnsi="宋体" w:eastAsia="宋体"/>
        </w:rPr>
        <w:t>m以后，宜采用卫星定位技术进行归心测量。</w:t>
      </w:r>
    </w:p>
    <w:p w14:paraId="5FBB467E">
      <w:pPr>
        <w:pStyle w:val="69"/>
        <w:spacing w:before="120" w:after="120"/>
        <w:ind w:left="0"/>
        <w:rPr>
          <w:rFonts w:ascii="宋体" w:hAnsi="宋体" w:eastAsia="宋体"/>
        </w:rPr>
      </w:pPr>
      <w:r>
        <w:rPr>
          <w:rFonts w:hint="eastAsia" w:ascii="宋体" w:hAnsi="宋体" w:eastAsia="宋体"/>
        </w:rPr>
        <w:t>归心测量的基准点和观测点应与建筑轴线建立统一的坐标系统。</w:t>
      </w:r>
    </w:p>
    <w:p w14:paraId="15B9F50E">
      <w:pPr>
        <w:pStyle w:val="69"/>
        <w:spacing w:before="120" w:after="120"/>
        <w:ind w:left="0"/>
        <w:rPr>
          <w:rFonts w:ascii="宋体" w:hAnsi="宋体" w:eastAsia="宋体"/>
        </w:rPr>
      </w:pPr>
      <w:r>
        <w:rPr>
          <w:rFonts w:hint="eastAsia" w:ascii="宋体" w:hAnsi="宋体" w:eastAsia="宋体"/>
        </w:rPr>
        <w:t>测量基准点与观测点选择应满足以下要求：</w:t>
      </w:r>
    </w:p>
    <w:p w14:paraId="221D03AA">
      <w:pPr>
        <w:numPr>
          <w:ilvl w:val="0"/>
          <w:numId w:val="44"/>
        </w:numPr>
        <w:adjustRightInd/>
        <w:spacing w:before="120" w:beforeLines="50" w:after="120" w:afterLines="50" w:line="240" w:lineRule="auto"/>
        <w:rPr>
          <w:rFonts w:ascii="宋体" w:hAnsi="宋体"/>
        </w:rPr>
      </w:pPr>
      <w:r>
        <w:rPr>
          <w:rFonts w:hint="eastAsia" w:ascii="宋体" w:hAnsi="宋体"/>
        </w:rPr>
        <w:t>建筑外围视野开阔，周围无信号反射物或强烈反射卫星信号的物体；</w:t>
      </w:r>
    </w:p>
    <w:p w14:paraId="113185DF">
      <w:pPr>
        <w:numPr>
          <w:ilvl w:val="0"/>
          <w:numId w:val="44"/>
        </w:numPr>
        <w:adjustRightInd/>
        <w:spacing w:before="120" w:beforeLines="50" w:after="120" w:afterLines="50" w:line="240" w:lineRule="auto"/>
        <w:rPr>
          <w:rFonts w:ascii="宋体" w:hAnsi="宋体"/>
        </w:rPr>
      </w:pPr>
      <w:r>
        <w:rPr>
          <w:rFonts w:hint="eastAsia" w:ascii="宋体" w:hAnsi="宋体"/>
        </w:rPr>
        <w:t>尽量避开施工及人为的干扰以及建筑施工变形影响区；</w:t>
      </w:r>
    </w:p>
    <w:p w14:paraId="2FB554C8">
      <w:pPr>
        <w:numPr>
          <w:ilvl w:val="0"/>
          <w:numId w:val="44"/>
        </w:numPr>
        <w:adjustRightInd/>
        <w:spacing w:before="120" w:beforeLines="50" w:after="120" w:afterLines="50" w:line="240" w:lineRule="auto"/>
        <w:rPr>
          <w:rFonts w:ascii="宋体" w:hAnsi="宋体"/>
        </w:rPr>
      </w:pPr>
      <w:r>
        <w:rPr>
          <w:rFonts w:hint="eastAsia" w:ascii="宋体" w:hAnsi="宋体"/>
        </w:rPr>
        <w:t>应设置成强制对中形式。</w:t>
      </w:r>
    </w:p>
    <w:p w14:paraId="48CAFBA5">
      <w:pPr>
        <w:pStyle w:val="69"/>
        <w:spacing w:before="120" w:after="120"/>
        <w:ind w:left="0"/>
        <w:rPr>
          <w:rFonts w:ascii="宋体" w:hAnsi="宋体" w:eastAsia="宋体"/>
        </w:rPr>
      </w:pPr>
      <w:r>
        <w:rPr>
          <w:rFonts w:hint="eastAsia" w:ascii="宋体" w:hAnsi="宋体" w:eastAsia="宋体"/>
        </w:rPr>
        <w:t>超高层卫星定位测量宜采用扼流圈天线，减小施工环境对</w:t>
      </w:r>
      <w:r>
        <w:rPr>
          <w:rFonts w:ascii="宋体" w:hAnsi="宋体" w:eastAsia="宋体"/>
        </w:rPr>
        <w:t>卫星信号</w:t>
      </w:r>
      <w:r>
        <w:rPr>
          <w:rFonts w:hint="eastAsia" w:ascii="宋体" w:hAnsi="宋体" w:eastAsia="宋体"/>
        </w:rPr>
        <w:t>接收的干扰。</w:t>
      </w:r>
    </w:p>
    <w:p w14:paraId="3E913C19">
      <w:pPr>
        <w:pStyle w:val="69"/>
        <w:spacing w:before="120" w:after="120"/>
        <w:ind w:left="0"/>
        <w:rPr>
          <w:rFonts w:ascii="宋体" w:hAnsi="宋体" w:eastAsia="宋体"/>
        </w:rPr>
      </w:pPr>
      <w:r>
        <w:rPr>
          <w:rFonts w:hint="eastAsia" w:ascii="宋体" w:hAnsi="宋体" w:eastAsia="宋体"/>
        </w:rPr>
        <w:t>作业层观测点与基准点应进行同步观测，每施工5</w:t>
      </w:r>
      <w:r>
        <w:rPr>
          <w:rFonts w:ascii="宋体" w:hAnsi="宋体" w:eastAsia="宋体"/>
        </w:rPr>
        <w:t>0m</w:t>
      </w:r>
      <w:r>
        <w:rPr>
          <w:rFonts w:hint="eastAsia" w:ascii="宋体" w:hAnsi="宋体" w:eastAsia="宋体"/>
        </w:rPr>
        <w:t>～</w:t>
      </w:r>
      <w:r>
        <w:rPr>
          <w:rFonts w:ascii="宋体" w:hAnsi="宋体" w:eastAsia="宋体"/>
        </w:rPr>
        <w:t>100</w:t>
      </w:r>
      <w:r>
        <w:rPr>
          <w:rFonts w:hint="eastAsia" w:ascii="宋体" w:hAnsi="宋体" w:eastAsia="宋体"/>
        </w:rPr>
        <w:t>m宜进行归心测量一次，对于设计有特殊要求的按设计要求执行。</w:t>
      </w:r>
    </w:p>
    <w:p w14:paraId="1ADEC4CE">
      <w:pPr>
        <w:pStyle w:val="109"/>
        <w:spacing w:before="120" w:after="120"/>
        <w:ind w:left="0"/>
      </w:pPr>
      <w:bookmarkStart w:id="94" w:name="_Toc81571052"/>
      <w:bookmarkStart w:id="95" w:name="_Toc203213054"/>
      <w:bookmarkStart w:id="96" w:name="_Toc91590494"/>
      <w:r>
        <w:t>压缩变形测量</w:t>
      </w:r>
      <w:r>
        <w:rPr>
          <w:rFonts w:hint="eastAsia"/>
        </w:rPr>
        <w:t>及层高改正</w:t>
      </w:r>
      <w:bookmarkEnd w:id="94"/>
      <w:bookmarkEnd w:id="95"/>
      <w:bookmarkEnd w:id="96"/>
    </w:p>
    <w:p w14:paraId="7AA72DDA">
      <w:pPr>
        <w:pStyle w:val="69"/>
        <w:spacing w:before="120" w:after="120"/>
        <w:ind w:left="0"/>
        <w:rPr>
          <w:rFonts w:ascii="宋体" w:hAnsi="宋体" w:eastAsia="宋体"/>
        </w:rPr>
      </w:pPr>
      <w:r>
        <w:rPr>
          <w:rFonts w:hint="eastAsia" w:ascii="宋体" w:hAnsi="宋体" w:eastAsia="宋体"/>
        </w:rPr>
        <w:t>建筑高度大于3</w:t>
      </w:r>
      <w:r>
        <w:rPr>
          <w:rFonts w:ascii="宋体" w:hAnsi="宋体" w:eastAsia="宋体"/>
        </w:rPr>
        <w:t>00</w:t>
      </w:r>
      <w:r>
        <w:rPr>
          <w:rFonts w:hint="eastAsia" w:ascii="宋体" w:hAnsi="宋体" w:eastAsia="宋体"/>
        </w:rPr>
        <w:t>m的建筑，宜进行压缩变形测量，观测频率视荷载增加情况确定，宜每增高2～</w:t>
      </w:r>
      <w:r>
        <w:rPr>
          <w:rFonts w:ascii="宋体" w:hAnsi="宋体" w:eastAsia="宋体"/>
        </w:rPr>
        <w:t>3</w:t>
      </w:r>
      <w:r>
        <w:rPr>
          <w:rFonts w:hint="eastAsia" w:ascii="宋体" w:hAnsi="宋体" w:eastAsia="宋体"/>
        </w:rPr>
        <w:t>层观测1次。特殊建筑可按设计要求执行。</w:t>
      </w:r>
    </w:p>
    <w:p w14:paraId="0CAF116B">
      <w:pPr>
        <w:pStyle w:val="69"/>
        <w:spacing w:before="120" w:after="120"/>
        <w:ind w:left="0"/>
        <w:rPr>
          <w:rFonts w:ascii="宋体" w:hAnsi="宋体" w:eastAsia="宋体"/>
        </w:rPr>
      </w:pPr>
      <w:r>
        <w:rPr>
          <w:rFonts w:hint="eastAsia" w:ascii="宋体" w:hAnsi="宋体" w:eastAsia="宋体"/>
        </w:rPr>
        <w:t>压缩变</w:t>
      </w:r>
      <w:r>
        <w:rPr>
          <w:rFonts w:ascii="宋体" w:hAnsi="宋体" w:eastAsia="宋体"/>
        </w:rPr>
        <w:t>形监测点</w:t>
      </w:r>
      <w:r>
        <w:rPr>
          <w:rFonts w:hint="eastAsia" w:ascii="宋体" w:hAnsi="宋体" w:eastAsia="宋体"/>
        </w:rPr>
        <w:t>宜</w:t>
      </w:r>
      <w:r>
        <w:rPr>
          <w:rFonts w:ascii="宋体" w:hAnsi="宋体" w:eastAsia="宋体"/>
        </w:rPr>
        <w:t>布置在结构柱、核心筒四角，</w:t>
      </w:r>
      <w:r>
        <w:rPr>
          <w:rFonts w:hint="eastAsia" w:ascii="宋体" w:hAnsi="宋体" w:eastAsia="宋体"/>
        </w:rPr>
        <w:t>并沿建筑高度每增加3</w:t>
      </w:r>
      <w:r>
        <w:rPr>
          <w:rFonts w:ascii="宋体" w:hAnsi="宋体" w:eastAsia="宋体"/>
        </w:rPr>
        <w:t>0</w:t>
      </w:r>
      <w:r>
        <w:rPr>
          <w:rFonts w:hint="eastAsia" w:ascii="宋体" w:hAnsi="宋体" w:eastAsia="宋体"/>
        </w:rPr>
        <w:t>m～</w:t>
      </w:r>
      <w:r>
        <w:rPr>
          <w:rFonts w:ascii="宋体" w:hAnsi="宋体" w:eastAsia="宋体"/>
        </w:rPr>
        <w:t>50</w:t>
      </w:r>
      <w:r>
        <w:rPr>
          <w:rFonts w:hint="eastAsia" w:ascii="宋体" w:hAnsi="宋体" w:eastAsia="宋体"/>
        </w:rPr>
        <w:t>m，在对应位置增加设置监测点，上下监测层的监测点应一一对应，对于设计有特殊要求的按设计要求执行。</w:t>
      </w:r>
    </w:p>
    <w:p w14:paraId="45A1552A">
      <w:pPr>
        <w:pStyle w:val="69"/>
        <w:spacing w:before="120" w:after="120"/>
        <w:ind w:left="0"/>
        <w:rPr>
          <w:rFonts w:ascii="宋体" w:hAnsi="宋体" w:eastAsia="宋体"/>
        </w:rPr>
      </w:pPr>
      <w:r>
        <w:rPr>
          <w:rFonts w:hint="eastAsia" w:ascii="宋体" w:hAnsi="宋体" w:eastAsia="宋体"/>
        </w:rPr>
        <w:t>压缩变形测量，可采用精密几何水准测量，水准测量精度及技术指标应符合GB</w:t>
      </w:r>
      <w:r>
        <w:rPr>
          <w:rFonts w:ascii="宋体" w:hAnsi="宋体" w:eastAsia="宋体"/>
        </w:rPr>
        <w:t xml:space="preserve"> </w:t>
      </w:r>
      <w:r>
        <w:rPr>
          <w:rFonts w:hint="eastAsia" w:ascii="宋体" w:hAnsi="宋体" w:eastAsia="宋体"/>
        </w:rPr>
        <w:t>50026中的二等水准测量精度。对于特定条件的压缩变形，可采用千分表、位移计等方法。</w:t>
      </w:r>
    </w:p>
    <w:p w14:paraId="77DDA9C8">
      <w:pPr>
        <w:pStyle w:val="69"/>
        <w:spacing w:before="120" w:after="120"/>
        <w:ind w:left="0"/>
        <w:rPr>
          <w:rFonts w:ascii="宋体" w:hAnsi="宋体" w:eastAsia="宋体"/>
        </w:rPr>
      </w:pPr>
      <w:r>
        <w:rPr>
          <w:rFonts w:hint="eastAsia" w:ascii="宋体" w:hAnsi="宋体" w:eastAsia="宋体"/>
        </w:rPr>
        <w:t>压缩变形测量，应同时记录测量时的外界环境因素，如时间、天气、温度、风力等。</w:t>
      </w:r>
    </w:p>
    <w:p w14:paraId="6E900CF2">
      <w:pPr>
        <w:pStyle w:val="69"/>
        <w:spacing w:before="120" w:after="120"/>
        <w:ind w:left="0"/>
        <w:rPr>
          <w:rFonts w:ascii="宋体" w:hAnsi="宋体" w:eastAsia="宋体"/>
        </w:rPr>
      </w:pPr>
      <w:r>
        <w:rPr>
          <w:rFonts w:hint="eastAsia" w:ascii="宋体" w:hAnsi="宋体" w:eastAsia="宋体"/>
        </w:rPr>
        <w:t>压缩变形测量工作应准确按期完成，测量数据形成图表，及时上报给建设、监理、设计、施工等相关各方。</w:t>
      </w:r>
    </w:p>
    <w:p w14:paraId="4B748342">
      <w:pPr>
        <w:pStyle w:val="69"/>
        <w:spacing w:before="120" w:after="120"/>
        <w:ind w:left="0"/>
        <w:rPr>
          <w:rFonts w:ascii="宋体" w:hAnsi="宋体" w:eastAsia="宋体"/>
        </w:rPr>
      </w:pPr>
      <w:r>
        <w:rPr>
          <w:rFonts w:hint="eastAsia" w:ascii="宋体" w:hAnsi="宋体" w:eastAsia="宋体"/>
        </w:rPr>
        <w:t>现场实测的建筑压缩变形数据与设计值进行比对，验证设计计算数据是否准确，依据现场实测数据及设计计算值综合确定，从而修正施工标高参数，对现场建筑层高和总高进行修正。</w:t>
      </w:r>
    </w:p>
    <w:p w14:paraId="4975A837">
      <w:pPr>
        <w:pStyle w:val="108"/>
        <w:spacing w:before="240" w:after="240"/>
      </w:pPr>
      <w:bookmarkStart w:id="97" w:name="_Toc203213055"/>
      <w:r>
        <w:rPr>
          <w:rFonts w:hint="eastAsia"/>
        </w:rPr>
        <w:t>机电安装和装饰测量</w:t>
      </w:r>
      <w:bookmarkEnd w:id="97"/>
    </w:p>
    <w:p w14:paraId="3B1F5707">
      <w:pPr>
        <w:pStyle w:val="109"/>
        <w:spacing w:before="120" w:after="120"/>
        <w:ind w:left="0"/>
      </w:pPr>
      <w:bookmarkStart w:id="98" w:name="_Toc203213056"/>
      <w:r>
        <w:rPr>
          <w:rFonts w:hint="eastAsia"/>
        </w:rPr>
        <w:t>一般规定</w:t>
      </w:r>
      <w:bookmarkEnd w:id="98"/>
    </w:p>
    <w:p w14:paraId="7F416A35">
      <w:pPr>
        <w:pStyle w:val="69"/>
        <w:spacing w:before="120" w:after="120"/>
        <w:ind w:left="0"/>
        <w:rPr>
          <w:rFonts w:ascii="宋体" w:hAnsi="宋体" w:eastAsia="宋体"/>
        </w:rPr>
      </w:pPr>
      <w:r>
        <w:rPr>
          <w:rFonts w:hint="eastAsia" w:ascii="宋体" w:hAnsi="宋体" w:eastAsia="宋体"/>
        </w:rPr>
        <w:t>机电安装与装饰施工测量的主要内容包括设备</w:t>
      </w:r>
      <w:r>
        <w:rPr>
          <w:rFonts w:ascii="宋体" w:hAnsi="宋体" w:eastAsia="宋体"/>
        </w:rPr>
        <w:t>、</w:t>
      </w:r>
      <w:r>
        <w:rPr>
          <w:rFonts w:hint="eastAsia" w:ascii="宋体" w:hAnsi="宋体" w:eastAsia="宋体"/>
        </w:rPr>
        <w:t>电梯、管道安装、室内地面铺装、吊顶施工、墙面装饰施工、幕墙和门窗安装等工程的施工测量。</w:t>
      </w:r>
    </w:p>
    <w:p w14:paraId="4D6FC982">
      <w:pPr>
        <w:pStyle w:val="69"/>
        <w:spacing w:before="120" w:after="120"/>
        <w:ind w:left="0"/>
        <w:rPr>
          <w:rFonts w:ascii="宋体" w:hAnsi="宋体" w:eastAsia="宋体"/>
        </w:rPr>
      </w:pPr>
      <w:r>
        <w:rPr>
          <w:rFonts w:hint="eastAsia" w:ascii="宋体" w:hAnsi="宋体" w:eastAsia="宋体"/>
        </w:rPr>
        <w:t>机电安装与装饰施工测量前应查阅施工图纸，了解设计要求，验算有关测量数据，核对图上坐标和高程与施工现场是否相符，并对其测量控制点和其他测量成果进行检查与校测。</w:t>
      </w:r>
    </w:p>
    <w:p w14:paraId="79D83A34">
      <w:pPr>
        <w:pStyle w:val="69"/>
        <w:spacing w:before="120" w:after="120"/>
        <w:ind w:left="0"/>
        <w:rPr>
          <w:rFonts w:ascii="宋体" w:hAnsi="宋体" w:eastAsia="宋体"/>
        </w:rPr>
      </w:pPr>
      <w:r>
        <w:rPr>
          <w:rFonts w:hint="eastAsia" w:ascii="宋体" w:hAnsi="宋体" w:eastAsia="宋体"/>
        </w:rPr>
        <w:t>机电安装与装饰施工测量的技术要求应符合下列规定：</w:t>
      </w:r>
    </w:p>
    <w:p w14:paraId="69C4D832">
      <w:pPr>
        <w:numPr>
          <w:ilvl w:val="0"/>
          <w:numId w:val="45"/>
        </w:numPr>
        <w:adjustRightInd/>
        <w:spacing w:before="120" w:beforeLines="50" w:after="120" w:afterLines="50" w:line="240" w:lineRule="auto"/>
        <w:rPr>
          <w:rFonts w:ascii="宋体" w:hAnsi="宋体"/>
        </w:rPr>
      </w:pPr>
      <w:r>
        <w:rPr>
          <w:rFonts w:hint="eastAsia" w:ascii="宋体" w:hAnsi="宋体"/>
        </w:rPr>
        <w:t>标高水平控制线测设同一条水平线两端高差应小于1mm，同一层水平线的标高允许误差不应</w:t>
      </w:r>
      <w:r>
        <w:rPr>
          <w:rFonts w:ascii="宋体" w:hAnsi="宋体"/>
        </w:rPr>
        <w:t>超过</w:t>
      </w:r>
      <w:r>
        <w:rPr>
          <w:rFonts w:hint="eastAsia" w:ascii="宋体" w:hAnsi="宋体"/>
        </w:rPr>
        <w:t>±3mm；</w:t>
      </w:r>
    </w:p>
    <w:p w14:paraId="21934A43">
      <w:pPr>
        <w:numPr>
          <w:ilvl w:val="0"/>
          <w:numId w:val="45"/>
        </w:numPr>
        <w:adjustRightInd/>
        <w:spacing w:before="120" w:beforeLines="50" w:after="120" w:afterLines="50" w:line="240" w:lineRule="auto"/>
        <w:rPr>
          <w:rFonts w:ascii="宋体" w:hAnsi="宋体"/>
        </w:rPr>
      </w:pPr>
      <w:r>
        <w:rPr>
          <w:rFonts w:hint="eastAsia" w:ascii="宋体" w:hAnsi="宋体"/>
        </w:rPr>
        <w:t>室外铅垂线，采用激光铅垂设备、经纬仪投测两次结果较差应小于2mm；</w:t>
      </w:r>
    </w:p>
    <w:p w14:paraId="09131A73">
      <w:pPr>
        <w:numPr>
          <w:ilvl w:val="0"/>
          <w:numId w:val="45"/>
        </w:numPr>
        <w:adjustRightInd/>
        <w:spacing w:before="120" w:beforeLines="50" w:after="120" w:afterLines="50" w:line="240" w:lineRule="auto"/>
        <w:rPr>
          <w:rFonts w:ascii="宋体" w:hAnsi="宋体"/>
        </w:rPr>
      </w:pPr>
      <w:r>
        <w:rPr>
          <w:rFonts w:hint="eastAsia" w:ascii="宋体" w:hAnsi="宋体"/>
        </w:rPr>
        <w:t>室内铅垂线，其相对误差应</w:t>
      </w:r>
      <w:r>
        <w:rPr>
          <w:rFonts w:ascii="宋体" w:hAnsi="宋体"/>
        </w:rPr>
        <w:t>小于</w:t>
      </w:r>
      <w:r>
        <w:rPr>
          <w:rFonts w:hint="eastAsia" w:ascii="宋体" w:hAnsi="宋体"/>
        </w:rPr>
        <w:t>1/3000。</w:t>
      </w:r>
    </w:p>
    <w:p w14:paraId="2BE33AD6">
      <w:pPr>
        <w:pStyle w:val="109"/>
        <w:spacing w:before="120" w:after="120"/>
        <w:ind w:left="0"/>
      </w:pPr>
      <w:bookmarkStart w:id="99" w:name="_Toc203213057"/>
      <w:r>
        <w:rPr>
          <w:rFonts w:hint="eastAsia"/>
        </w:rPr>
        <w:t>机电安装测量</w:t>
      </w:r>
      <w:bookmarkEnd w:id="99"/>
    </w:p>
    <w:p w14:paraId="53ECEEF0">
      <w:pPr>
        <w:pStyle w:val="69"/>
        <w:spacing w:before="120" w:after="120"/>
        <w:ind w:left="0"/>
        <w:rPr>
          <w:rFonts w:ascii="宋体" w:hAnsi="宋体" w:eastAsia="宋体"/>
        </w:rPr>
      </w:pPr>
      <w:r>
        <w:rPr>
          <w:rFonts w:hint="eastAsia" w:ascii="宋体" w:hAnsi="宋体" w:eastAsia="宋体"/>
        </w:rPr>
        <w:t>设备安装前，应对基础结构中心线、安装基准线进行复核检查。</w:t>
      </w:r>
    </w:p>
    <w:p w14:paraId="7E9A8492">
      <w:pPr>
        <w:pStyle w:val="69"/>
        <w:spacing w:before="120" w:after="120"/>
        <w:ind w:left="0"/>
        <w:rPr>
          <w:rFonts w:ascii="宋体" w:hAnsi="宋体" w:eastAsia="宋体"/>
        </w:rPr>
      </w:pPr>
      <w:r>
        <w:rPr>
          <w:rFonts w:hint="eastAsia" w:ascii="宋体" w:hAnsi="宋体" w:eastAsia="宋体"/>
        </w:rPr>
        <w:t>设备</w:t>
      </w:r>
      <w:r>
        <w:rPr>
          <w:rFonts w:ascii="宋体" w:hAnsi="宋体" w:eastAsia="宋体"/>
        </w:rPr>
        <w:t>安装</w:t>
      </w:r>
      <w:r>
        <w:rPr>
          <w:rFonts w:hint="eastAsia" w:ascii="宋体" w:hAnsi="宋体" w:eastAsia="宋体"/>
        </w:rPr>
        <w:t>前</w:t>
      </w:r>
      <w:r>
        <w:rPr>
          <w:rFonts w:ascii="宋体" w:hAnsi="宋体" w:eastAsia="宋体"/>
        </w:rPr>
        <w:t>，</w:t>
      </w:r>
      <w:r>
        <w:rPr>
          <w:rFonts w:hint="eastAsia" w:ascii="宋体" w:hAnsi="宋体" w:eastAsia="宋体"/>
        </w:rPr>
        <w:t>应对设备基础进行外观检查，合格后方可进行工序交接。混凝土设备基础尺寸允许偏差应符合</w:t>
      </w:r>
      <w:r>
        <w:rPr>
          <w:rFonts w:ascii="宋体" w:hAnsi="宋体" w:eastAsia="宋体"/>
        </w:rPr>
        <w:t>表</w:t>
      </w:r>
      <w:r>
        <w:rPr>
          <w:rFonts w:hint="eastAsia" w:ascii="宋体" w:hAnsi="宋体" w:eastAsia="宋体"/>
        </w:rPr>
        <w:t>2</w:t>
      </w:r>
      <w:r>
        <w:rPr>
          <w:rFonts w:ascii="宋体" w:hAnsi="宋体" w:eastAsia="宋体"/>
        </w:rPr>
        <w:t>0</w:t>
      </w:r>
      <w:r>
        <w:rPr>
          <w:rFonts w:hint="eastAsia" w:ascii="宋体" w:hAnsi="宋体" w:eastAsia="宋体"/>
        </w:rPr>
        <w:t>的规定</w:t>
      </w:r>
      <w:r>
        <w:rPr>
          <w:rFonts w:ascii="宋体" w:hAnsi="宋体" w:eastAsia="宋体"/>
        </w:rPr>
        <w:t>。</w:t>
      </w:r>
    </w:p>
    <w:p w14:paraId="0A5DA706">
      <w:pPr>
        <w:pStyle w:val="60"/>
        <w:ind w:firstLine="420"/>
        <w:jc w:val="center"/>
        <w:rPr>
          <w:rFonts w:ascii="黑体" w:hAnsi="黑体" w:eastAsia="黑体"/>
        </w:rPr>
      </w:pPr>
      <w:r>
        <w:rPr>
          <w:rFonts w:hint="eastAsia" w:ascii="黑体" w:hAnsi="黑体" w:eastAsia="黑体"/>
        </w:rPr>
        <w:t>表</w:t>
      </w:r>
      <w:r>
        <w:rPr>
          <w:rFonts w:ascii="黑体" w:hAnsi="黑体" w:eastAsia="黑体"/>
        </w:rPr>
        <w:t>20</w:t>
      </w:r>
      <w:r>
        <w:rPr>
          <w:rFonts w:hint="eastAsia" w:ascii="黑体" w:hAnsi="黑体" w:eastAsia="黑体"/>
        </w:rPr>
        <w:t xml:space="preserve"> 混凝土</w:t>
      </w:r>
      <w:r>
        <w:rPr>
          <w:rFonts w:ascii="黑体" w:hAnsi="黑体" w:eastAsia="黑体"/>
        </w:rPr>
        <w:t>设备基础尺寸允许</w:t>
      </w:r>
      <w:r>
        <w:rPr>
          <w:rFonts w:hint="eastAsia" w:ascii="黑体" w:hAnsi="黑体" w:eastAsia="黑体"/>
        </w:rPr>
        <w:t>偏差</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8"/>
        <w:gridCol w:w="2238"/>
        <w:gridCol w:w="1563"/>
      </w:tblGrid>
      <w:tr w14:paraId="79FD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3B555E07">
            <w:pPr>
              <w:pStyle w:val="60"/>
              <w:ind w:firstLine="0" w:firstLineChars="0"/>
              <w:jc w:val="center"/>
              <w:rPr>
                <w:sz w:val="18"/>
                <w:szCs w:val="18"/>
              </w:rPr>
            </w:pPr>
            <w:r>
              <w:rPr>
                <w:rFonts w:hint="eastAsia"/>
                <w:sz w:val="18"/>
                <w:szCs w:val="18"/>
              </w:rPr>
              <w:t>项目</w:t>
            </w:r>
          </w:p>
        </w:tc>
        <w:tc>
          <w:tcPr>
            <w:tcW w:w="1526" w:type="dxa"/>
            <w:vAlign w:val="center"/>
          </w:tcPr>
          <w:p w14:paraId="42437917">
            <w:pPr>
              <w:pStyle w:val="60"/>
              <w:ind w:firstLine="0" w:firstLineChars="0"/>
              <w:jc w:val="center"/>
              <w:rPr>
                <w:sz w:val="18"/>
                <w:szCs w:val="18"/>
              </w:rPr>
            </w:pPr>
            <w:r>
              <w:rPr>
                <w:rFonts w:hint="eastAsia"/>
                <w:sz w:val="18"/>
                <w:szCs w:val="18"/>
              </w:rPr>
              <w:t>允许</w:t>
            </w:r>
            <w:r>
              <w:rPr>
                <w:sz w:val="18"/>
                <w:szCs w:val="18"/>
              </w:rPr>
              <w:t>偏差</w:t>
            </w:r>
            <w:r>
              <w:rPr>
                <w:rFonts w:hint="eastAsia"/>
                <w:sz w:val="18"/>
                <w:szCs w:val="18"/>
              </w:rPr>
              <w:t>（mm</w:t>
            </w:r>
            <w:r>
              <w:rPr>
                <w:sz w:val="18"/>
                <w:szCs w:val="18"/>
              </w:rPr>
              <w:t>）</w:t>
            </w:r>
          </w:p>
        </w:tc>
      </w:tr>
      <w:tr w14:paraId="6A9C3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4E14BA34">
            <w:pPr>
              <w:pStyle w:val="60"/>
              <w:ind w:firstLine="0" w:firstLineChars="0"/>
              <w:jc w:val="center"/>
              <w:rPr>
                <w:sz w:val="18"/>
                <w:szCs w:val="18"/>
              </w:rPr>
            </w:pPr>
            <w:r>
              <w:rPr>
                <w:rFonts w:hint="eastAsia"/>
                <w:sz w:val="18"/>
                <w:szCs w:val="18"/>
              </w:rPr>
              <w:t>坐标位置</w:t>
            </w:r>
          </w:p>
        </w:tc>
        <w:tc>
          <w:tcPr>
            <w:tcW w:w="1526" w:type="dxa"/>
            <w:vAlign w:val="center"/>
          </w:tcPr>
          <w:p w14:paraId="596241EF">
            <w:pPr>
              <w:pStyle w:val="60"/>
              <w:ind w:firstLine="0" w:firstLineChars="0"/>
              <w:jc w:val="center"/>
              <w:rPr>
                <w:sz w:val="18"/>
                <w:szCs w:val="18"/>
              </w:rPr>
            </w:pPr>
            <w:r>
              <w:rPr>
                <w:rFonts w:hint="eastAsia"/>
                <w:sz w:val="18"/>
                <w:szCs w:val="18"/>
              </w:rPr>
              <w:t>20</w:t>
            </w:r>
          </w:p>
        </w:tc>
      </w:tr>
      <w:tr w14:paraId="2331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0726BF10">
            <w:pPr>
              <w:pStyle w:val="60"/>
              <w:ind w:firstLine="0" w:firstLineChars="0"/>
              <w:jc w:val="center"/>
              <w:rPr>
                <w:sz w:val="18"/>
                <w:szCs w:val="18"/>
              </w:rPr>
            </w:pPr>
            <w:r>
              <w:rPr>
                <w:rFonts w:hint="eastAsia"/>
                <w:sz w:val="18"/>
                <w:szCs w:val="18"/>
              </w:rPr>
              <w:t>不同</w:t>
            </w:r>
            <w:r>
              <w:rPr>
                <w:sz w:val="18"/>
                <w:szCs w:val="18"/>
              </w:rPr>
              <w:t>平面的标高</w:t>
            </w:r>
          </w:p>
        </w:tc>
        <w:tc>
          <w:tcPr>
            <w:tcW w:w="1526" w:type="dxa"/>
            <w:vAlign w:val="center"/>
          </w:tcPr>
          <w:p w14:paraId="245697B6">
            <w:pPr>
              <w:pStyle w:val="60"/>
              <w:ind w:firstLine="0" w:firstLineChars="0"/>
              <w:jc w:val="center"/>
              <w:rPr>
                <w:sz w:val="18"/>
                <w:szCs w:val="18"/>
              </w:rPr>
            </w:pPr>
            <w:r>
              <w:rPr>
                <w:sz w:val="18"/>
                <w:szCs w:val="18"/>
              </w:rPr>
              <w:t>0</w:t>
            </w:r>
            <w:r>
              <w:rPr>
                <w:rFonts w:hint="eastAsia"/>
                <w:sz w:val="18"/>
                <w:szCs w:val="18"/>
              </w:rPr>
              <w:t>，</w:t>
            </w:r>
            <w:r>
              <w:rPr>
                <w:sz w:val="18"/>
                <w:szCs w:val="18"/>
              </w:rPr>
              <w:t>-</w:t>
            </w:r>
            <w:r>
              <w:rPr>
                <w:rFonts w:hint="eastAsia"/>
                <w:sz w:val="18"/>
                <w:szCs w:val="18"/>
              </w:rPr>
              <w:t>20</w:t>
            </w:r>
          </w:p>
        </w:tc>
      </w:tr>
      <w:tr w14:paraId="2CF23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784B43FF">
            <w:pPr>
              <w:pStyle w:val="60"/>
              <w:ind w:firstLine="0" w:firstLineChars="0"/>
              <w:jc w:val="center"/>
              <w:rPr>
                <w:sz w:val="18"/>
                <w:szCs w:val="18"/>
              </w:rPr>
            </w:pPr>
            <w:r>
              <w:rPr>
                <w:rFonts w:hint="eastAsia"/>
                <w:sz w:val="18"/>
                <w:szCs w:val="18"/>
              </w:rPr>
              <w:t>平面</w:t>
            </w:r>
            <w:r>
              <w:rPr>
                <w:sz w:val="18"/>
                <w:szCs w:val="18"/>
              </w:rPr>
              <w:t>外形尺寸</w:t>
            </w:r>
          </w:p>
        </w:tc>
        <w:tc>
          <w:tcPr>
            <w:tcW w:w="1526" w:type="dxa"/>
            <w:vAlign w:val="center"/>
          </w:tcPr>
          <w:p w14:paraId="5B34D03C">
            <w:pPr>
              <w:pStyle w:val="60"/>
              <w:ind w:firstLine="0" w:firstLineChars="0"/>
              <w:jc w:val="center"/>
              <w:rPr>
                <w:sz w:val="18"/>
                <w:szCs w:val="18"/>
              </w:rPr>
            </w:pPr>
            <w:r>
              <w:rPr>
                <w:rFonts w:hint="eastAsia"/>
                <w:sz w:val="18"/>
                <w:szCs w:val="18"/>
              </w:rPr>
              <w:t>±20</w:t>
            </w:r>
          </w:p>
        </w:tc>
      </w:tr>
      <w:tr w14:paraId="43F0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13BC300D">
            <w:pPr>
              <w:pStyle w:val="60"/>
              <w:ind w:firstLine="0" w:firstLineChars="0"/>
              <w:jc w:val="center"/>
              <w:rPr>
                <w:sz w:val="18"/>
                <w:szCs w:val="18"/>
              </w:rPr>
            </w:pPr>
            <w:r>
              <w:rPr>
                <w:rFonts w:hint="eastAsia"/>
                <w:sz w:val="18"/>
                <w:szCs w:val="18"/>
              </w:rPr>
              <w:t>凸台上平面外形尺寸</w:t>
            </w:r>
          </w:p>
        </w:tc>
        <w:tc>
          <w:tcPr>
            <w:tcW w:w="1526" w:type="dxa"/>
            <w:vAlign w:val="center"/>
          </w:tcPr>
          <w:p w14:paraId="224DB7F3">
            <w:pPr>
              <w:pStyle w:val="60"/>
              <w:ind w:firstLine="0" w:firstLineChars="0"/>
              <w:jc w:val="center"/>
              <w:rPr>
                <w:sz w:val="18"/>
                <w:szCs w:val="18"/>
              </w:rPr>
            </w:pPr>
            <w:r>
              <w:rPr>
                <w:sz w:val="18"/>
                <w:szCs w:val="18"/>
              </w:rPr>
              <w:t>0</w:t>
            </w:r>
            <w:r>
              <w:rPr>
                <w:rFonts w:hint="eastAsia"/>
                <w:sz w:val="18"/>
                <w:szCs w:val="18"/>
              </w:rPr>
              <w:t>，</w:t>
            </w:r>
            <w:r>
              <w:rPr>
                <w:sz w:val="18"/>
                <w:szCs w:val="18"/>
              </w:rPr>
              <w:t>-</w:t>
            </w:r>
            <w:r>
              <w:rPr>
                <w:rFonts w:hint="eastAsia"/>
                <w:sz w:val="18"/>
                <w:szCs w:val="18"/>
              </w:rPr>
              <w:t>20</w:t>
            </w:r>
          </w:p>
        </w:tc>
      </w:tr>
      <w:tr w14:paraId="2DCD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5" w:type="dxa"/>
            <w:gridSpan w:val="2"/>
            <w:vAlign w:val="center"/>
          </w:tcPr>
          <w:p w14:paraId="253899D9">
            <w:pPr>
              <w:pStyle w:val="60"/>
              <w:ind w:firstLine="0" w:firstLineChars="0"/>
              <w:jc w:val="center"/>
              <w:rPr>
                <w:sz w:val="18"/>
                <w:szCs w:val="18"/>
              </w:rPr>
            </w:pPr>
            <w:r>
              <w:rPr>
                <w:rFonts w:hint="eastAsia"/>
                <w:sz w:val="18"/>
                <w:szCs w:val="18"/>
              </w:rPr>
              <w:t>凹穴尺寸</w:t>
            </w:r>
          </w:p>
        </w:tc>
        <w:tc>
          <w:tcPr>
            <w:tcW w:w="1526" w:type="dxa"/>
            <w:vAlign w:val="center"/>
          </w:tcPr>
          <w:p w14:paraId="5AAD137D">
            <w:pPr>
              <w:pStyle w:val="60"/>
              <w:ind w:firstLine="0" w:firstLineChars="0"/>
              <w:jc w:val="center"/>
              <w:rPr>
                <w:sz w:val="18"/>
                <w:szCs w:val="18"/>
              </w:rPr>
            </w:pPr>
            <w:r>
              <w:rPr>
                <w:rFonts w:hint="eastAsia"/>
                <w:sz w:val="18"/>
                <w:szCs w:val="18"/>
              </w:rPr>
              <w:t>+20，0</w:t>
            </w:r>
          </w:p>
        </w:tc>
      </w:tr>
      <w:tr w14:paraId="4884E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restart"/>
            <w:vAlign w:val="center"/>
          </w:tcPr>
          <w:p w14:paraId="7BC178CE">
            <w:pPr>
              <w:pStyle w:val="60"/>
              <w:ind w:firstLine="0" w:firstLineChars="0"/>
              <w:jc w:val="center"/>
              <w:rPr>
                <w:sz w:val="18"/>
                <w:szCs w:val="18"/>
              </w:rPr>
            </w:pPr>
            <w:r>
              <w:rPr>
                <w:rFonts w:hint="eastAsia"/>
                <w:sz w:val="18"/>
                <w:szCs w:val="18"/>
              </w:rPr>
              <w:t>平面</w:t>
            </w:r>
            <w:r>
              <w:rPr>
                <w:sz w:val="18"/>
                <w:szCs w:val="18"/>
              </w:rPr>
              <w:t>水平度</w:t>
            </w:r>
          </w:p>
        </w:tc>
        <w:tc>
          <w:tcPr>
            <w:tcW w:w="2185" w:type="dxa"/>
            <w:vAlign w:val="center"/>
          </w:tcPr>
          <w:p w14:paraId="6A081692">
            <w:pPr>
              <w:pStyle w:val="60"/>
              <w:ind w:firstLine="0" w:firstLineChars="0"/>
              <w:jc w:val="center"/>
              <w:rPr>
                <w:sz w:val="18"/>
                <w:szCs w:val="18"/>
              </w:rPr>
            </w:pPr>
            <w:r>
              <w:rPr>
                <w:rFonts w:hint="eastAsia"/>
                <w:sz w:val="18"/>
                <w:szCs w:val="18"/>
              </w:rPr>
              <w:t>每米</w:t>
            </w:r>
          </w:p>
        </w:tc>
        <w:tc>
          <w:tcPr>
            <w:tcW w:w="1526" w:type="dxa"/>
            <w:vAlign w:val="center"/>
          </w:tcPr>
          <w:p w14:paraId="7423AD4E">
            <w:pPr>
              <w:pStyle w:val="60"/>
              <w:ind w:firstLine="0" w:firstLineChars="0"/>
              <w:jc w:val="center"/>
              <w:rPr>
                <w:sz w:val="18"/>
                <w:szCs w:val="18"/>
              </w:rPr>
            </w:pPr>
            <w:r>
              <w:rPr>
                <w:rFonts w:hint="eastAsia"/>
                <w:sz w:val="18"/>
                <w:szCs w:val="18"/>
              </w:rPr>
              <w:t>5</w:t>
            </w:r>
          </w:p>
        </w:tc>
      </w:tr>
      <w:tr w14:paraId="7DCD4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7392B5AB">
            <w:pPr>
              <w:pStyle w:val="60"/>
              <w:ind w:firstLine="0" w:firstLineChars="0"/>
              <w:jc w:val="center"/>
              <w:rPr>
                <w:sz w:val="18"/>
                <w:szCs w:val="18"/>
              </w:rPr>
            </w:pPr>
          </w:p>
        </w:tc>
        <w:tc>
          <w:tcPr>
            <w:tcW w:w="2185" w:type="dxa"/>
            <w:vAlign w:val="center"/>
          </w:tcPr>
          <w:p w14:paraId="5C3A2CA4">
            <w:pPr>
              <w:pStyle w:val="60"/>
              <w:ind w:firstLine="0" w:firstLineChars="0"/>
              <w:jc w:val="center"/>
              <w:rPr>
                <w:sz w:val="18"/>
                <w:szCs w:val="18"/>
              </w:rPr>
            </w:pPr>
            <w:r>
              <w:rPr>
                <w:rFonts w:hint="eastAsia"/>
                <w:sz w:val="18"/>
                <w:szCs w:val="18"/>
              </w:rPr>
              <w:t>全长</w:t>
            </w:r>
          </w:p>
        </w:tc>
        <w:tc>
          <w:tcPr>
            <w:tcW w:w="1526" w:type="dxa"/>
            <w:vAlign w:val="center"/>
          </w:tcPr>
          <w:p w14:paraId="34A8455C">
            <w:pPr>
              <w:pStyle w:val="60"/>
              <w:ind w:firstLine="0" w:firstLineChars="0"/>
              <w:jc w:val="center"/>
              <w:rPr>
                <w:sz w:val="18"/>
                <w:szCs w:val="18"/>
              </w:rPr>
            </w:pPr>
            <w:r>
              <w:rPr>
                <w:rFonts w:hint="eastAsia"/>
                <w:sz w:val="18"/>
                <w:szCs w:val="18"/>
              </w:rPr>
              <w:t>10</w:t>
            </w:r>
          </w:p>
        </w:tc>
      </w:tr>
      <w:tr w14:paraId="13AD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restart"/>
            <w:vAlign w:val="center"/>
          </w:tcPr>
          <w:p w14:paraId="46DFA24F">
            <w:pPr>
              <w:pStyle w:val="60"/>
              <w:ind w:firstLine="0" w:firstLineChars="0"/>
              <w:jc w:val="center"/>
              <w:rPr>
                <w:sz w:val="18"/>
                <w:szCs w:val="18"/>
              </w:rPr>
            </w:pPr>
            <w:r>
              <w:rPr>
                <w:rFonts w:hint="eastAsia"/>
                <w:sz w:val="18"/>
                <w:szCs w:val="18"/>
              </w:rPr>
              <w:t>垂直度</w:t>
            </w:r>
          </w:p>
        </w:tc>
        <w:tc>
          <w:tcPr>
            <w:tcW w:w="2185" w:type="dxa"/>
            <w:vAlign w:val="center"/>
          </w:tcPr>
          <w:p w14:paraId="1B878A80">
            <w:pPr>
              <w:pStyle w:val="60"/>
              <w:ind w:firstLine="0" w:firstLineChars="0"/>
              <w:jc w:val="center"/>
              <w:rPr>
                <w:sz w:val="18"/>
                <w:szCs w:val="18"/>
              </w:rPr>
            </w:pPr>
            <w:r>
              <w:rPr>
                <w:rFonts w:hint="eastAsia"/>
                <w:sz w:val="18"/>
                <w:szCs w:val="18"/>
              </w:rPr>
              <w:t>每米</w:t>
            </w:r>
          </w:p>
        </w:tc>
        <w:tc>
          <w:tcPr>
            <w:tcW w:w="1526" w:type="dxa"/>
            <w:vAlign w:val="center"/>
          </w:tcPr>
          <w:p w14:paraId="37EB17A0">
            <w:pPr>
              <w:pStyle w:val="60"/>
              <w:ind w:firstLine="0" w:firstLineChars="0"/>
              <w:jc w:val="center"/>
              <w:rPr>
                <w:sz w:val="18"/>
                <w:szCs w:val="18"/>
              </w:rPr>
            </w:pPr>
            <w:r>
              <w:rPr>
                <w:rFonts w:hint="eastAsia"/>
                <w:sz w:val="18"/>
                <w:szCs w:val="18"/>
              </w:rPr>
              <w:t>5</w:t>
            </w:r>
          </w:p>
        </w:tc>
      </w:tr>
      <w:tr w14:paraId="6179F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188AF031">
            <w:pPr>
              <w:pStyle w:val="60"/>
              <w:ind w:firstLine="0" w:firstLineChars="0"/>
              <w:jc w:val="center"/>
              <w:rPr>
                <w:sz w:val="18"/>
                <w:szCs w:val="18"/>
              </w:rPr>
            </w:pPr>
          </w:p>
        </w:tc>
        <w:tc>
          <w:tcPr>
            <w:tcW w:w="2185" w:type="dxa"/>
            <w:vAlign w:val="center"/>
          </w:tcPr>
          <w:p w14:paraId="72BB3010">
            <w:pPr>
              <w:pStyle w:val="60"/>
              <w:ind w:firstLine="0" w:firstLineChars="0"/>
              <w:jc w:val="center"/>
              <w:rPr>
                <w:sz w:val="18"/>
                <w:szCs w:val="18"/>
              </w:rPr>
            </w:pPr>
            <w:r>
              <w:rPr>
                <w:rFonts w:hint="eastAsia"/>
                <w:sz w:val="18"/>
                <w:szCs w:val="18"/>
              </w:rPr>
              <w:t>全长</w:t>
            </w:r>
          </w:p>
        </w:tc>
        <w:tc>
          <w:tcPr>
            <w:tcW w:w="1526" w:type="dxa"/>
            <w:vAlign w:val="center"/>
          </w:tcPr>
          <w:p w14:paraId="0FDA8597">
            <w:pPr>
              <w:pStyle w:val="60"/>
              <w:ind w:firstLine="0" w:firstLineChars="0"/>
              <w:jc w:val="center"/>
              <w:rPr>
                <w:sz w:val="18"/>
                <w:szCs w:val="18"/>
              </w:rPr>
            </w:pPr>
            <w:r>
              <w:rPr>
                <w:rFonts w:hint="eastAsia"/>
                <w:sz w:val="18"/>
                <w:szCs w:val="18"/>
              </w:rPr>
              <w:t>10</w:t>
            </w:r>
          </w:p>
        </w:tc>
      </w:tr>
      <w:tr w14:paraId="41747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restart"/>
            <w:vAlign w:val="center"/>
          </w:tcPr>
          <w:p w14:paraId="5C2BA1AC">
            <w:pPr>
              <w:pStyle w:val="60"/>
              <w:ind w:firstLine="0" w:firstLineChars="0"/>
              <w:jc w:val="center"/>
              <w:rPr>
                <w:sz w:val="18"/>
                <w:szCs w:val="18"/>
              </w:rPr>
            </w:pPr>
            <w:r>
              <w:rPr>
                <w:rFonts w:hint="eastAsia"/>
                <w:sz w:val="18"/>
                <w:szCs w:val="18"/>
              </w:rPr>
              <w:t>预埋</w:t>
            </w:r>
            <w:r>
              <w:rPr>
                <w:sz w:val="18"/>
                <w:szCs w:val="18"/>
              </w:rPr>
              <w:t>地脚螺栓</w:t>
            </w:r>
          </w:p>
        </w:tc>
        <w:tc>
          <w:tcPr>
            <w:tcW w:w="2185" w:type="dxa"/>
            <w:vAlign w:val="center"/>
          </w:tcPr>
          <w:p w14:paraId="2BEC642F">
            <w:pPr>
              <w:pStyle w:val="60"/>
              <w:ind w:firstLine="0" w:firstLineChars="0"/>
              <w:jc w:val="center"/>
              <w:rPr>
                <w:sz w:val="18"/>
                <w:szCs w:val="18"/>
              </w:rPr>
            </w:pPr>
            <w:r>
              <w:rPr>
                <w:rFonts w:hint="eastAsia"/>
                <w:sz w:val="18"/>
                <w:szCs w:val="18"/>
              </w:rPr>
              <w:t>标高</w:t>
            </w:r>
            <w:r>
              <w:rPr>
                <w:sz w:val="18"/>
                <w:szCs w:val="18"/>
              </w:rPr>
              <w:t>（</w:t>
            </w:r>
            <w:r>
              <w:rPr>
                <w:rFonts w:hint="eastAsia"/>
                <w:sz w:val="18"/>
                <w:szCs w:val="18"/>
              </w:rPr>
              <w:t>顶端</w:t>
            </w:r>
            <w:r>
              <w:rPr>
                <w:sz w:val="18"/>
                <w:szCs w:val="18"/>
              </w:rPr>
              <w:t>）</w:t>
            </w:r>
          </w:p>
        </w:tc>
        <w:tc>
          <w:tcPr>
            <w:tcW w:w="1526" w:type="dxa"/>
            <w:vAlign w:val="center"/>
          </w:tcPr>
          <w:p w14:paraId="5F3A374F">
            <w:pPr>
              <w:pStyle w:val="60"/>
              <w:ind w:firstLine="0" w:firstLineChars="0"/>
              <w:jc w:val="center"/>
              <w:rPr>
                <w:sz w:val="18"/>
                <w:szCs w:val="18"/>
              </w:rPr>
            </w:pPr>
            <w:r>
              <w:rPr>
                <w:rFonts w:hint="eastAsia"/>
                <w:sz w:val="18"/>
                <w:szCs w:val="18"/>
              </w:rPr>
              <w:t>+</w:t>
            </w:r>
            <w:r>
              <w:rPr>
                <w:sz w:val="18"/>
                <w:szCs w:val="18"/>
              </w:rPr>
              <w:t>20</w:t>
            </w:r>
            <w:r>
              <w:rPr>
                <w:rFonts w:hint="eastAsia"/>
                <w:sz w:val="18"/>
                <w:szCs w:val="18"/>
              </w:rPr>
              <w:t>，0</w:t>
            </w:r>
          </w:p>
        </w:tc>
      </w:tr>
      <w:tr w14:paraId="2EC41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42EA89FE">
            <w:pPr>
              <w:pStyle w:val="60"/>
              <w:ind w:firstLine="0" w:firstLineChars="0"/>
              <w:jc w:val="center"/>
              <w:rPr>
                <w:sz w:val="18"/>
                <w:szCs w:val="18"/>
              </w:rPr>
            </w:pPr>
          </w:p>
        </w:tc>
        <w:tc>
          <w:tcPr>
            <w:tcW w:w="2185" w:type="dxa"/>
            <w:vAlign w:val="center"/>
          </w:tcPr>
          <w:p w14:paraId="5DEC797E">
            <w:pPr>
              <w:pStyle w:val="60"/>
              <w:ind w:firstLine="0" w:firstLineChars="0"/>
              <w:jc w:val="center"/>
              <w:rPr>
                <w:sz w:val="18"/>
                <w:szCs w:val="18"/>
              </w:rPr>
            </w:pPr>
            <w:r>
              <w:rPr>
                <w:rFonts w:hint="eastAsia"/>
                <w:sz w:val="18"/>
                <w:szCs w:val="18"/>
              </w:rPr>
              <w:t>中心距</w:t>
            </w:r>
          </w:p>
        </w:tc>
        <w:tc>
          <w:tcPr>
            <w:tcW w:w="1526" w:type="dxa"/>
            <w:vAlign w:val="center"/>
          </w:tcPr>
          <w:p w14:paraId="0525CEA2">
            <w:pPr>
              <w:pStyle w:val="60"/>
              <w:ind w:firstLine="0" w:firstLineChars="0"/>
              <w:jc w:val="center"/>
              <w:rPr>
                <w:sz w:val="18"/>
                <w:szCs w:val="18"/>
              </w:rPr>
            </w:pPr>
            <w:r>
              <w:rPr>
                <w:rFonts w:hint="eastAsia"/>
                <w:sz w:val="18"/>
                <w:szCs w:val="18"/>
              </w:rPr>
              <w:t>±</w:t>
            </w:r>
            <w:r>
              <w:rPr>
                <w:sz w:val="18"/>
                <w:szCs w:val="18"/>
              </w:rPr>
              <w:t>2</w:t>
            </w:r>
          </w:p>
        </w:tc>
      </w:tr>
      <w:tr w14:paraId="3BE1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restart"/>
            <w:vAlign w:val="center"/>
          </w:tcPr>
          <w:p w14:paraId="7CFDAEB9">
            <w:pPr>
              <w:pStyle w:val="60"/>
              <w:ind w:firstLine="0" w:firstLineChars="0"/>
              <w:jc w:val="center"/>
              <w:rPr>
                <w:sz w:val="18"/>
                <w:szCs w:val="18"/>
              </w:rPr>
            </w:pPr>
            <w:r>
              <w:rPr>
                <w:rFonts w:hint="eastAsia"/>
                <w:sz w:val="18"/>
                <w:szCs w:val="18"/>
              </w:rPr>
              <w:t>预埋</w:t>
            </w:r>
            <w:r>
              <w:rPr>
                <w:sz w:val="18"/>
                <w:szCs w:val="18"/>
              </w:rPr>
              <w:t>地脚螺栓</w:t>
            </w:r>
            <w:r>
              <w:rPr>
                <w:rFonts w:hint="eastAsia"/>
                <w:sz w:val="18"/>
                <w:szCs w:val="18"/>
              </w:rPr>
              <w:t>孔</w:t>
            </w:r>
          </w:p>
        </w:tc>
        <w:tc>
          <w:tcPr>
            <w:tcW w:w="2185" w:type="dxa"/>
            <w:vAlign w:val="center"/>
          </w:tcPr>
          <w:p w14:paraId="5092ADDE">
            <w:pPr>
              <w:pStyle w:val="60"/>
              <w:ind w:firstLine="0" w:firstLineChars="0"/>
              <w:jc w:val="center"/>
              <w:rPr>
                <w:sz w:val="18"/>
                <w:szCs w:val="18"/>
              </w:rPr>
            </w:pPr>
            <w:r>
              <w:rPr>
                <w:rFonts w:hint="eastAsia"/>
                <w:sz w:val="18"/>
                <w:szCs w:val="18"/>
              </w:rPr>
              <w:t>中心线位置</w:t>
            </w:r>
          </w:p>
        </w:tc>
        <w:tc>
          <w:tcPr>
            <w:tcW w:w="1526" w:type="dxa"/>
            <w:vAlign w:val="center"/>
          </w:tcPr>
          <w:p w14:paraId="575EA93D">
            <w:pPr>
              <w:pStyle w:val="60"/>
              <w:ind w:firstLine="0" w:firstLineChars="0"/>
              <w:jc w:val="center"/>
              <w:rPr>
                <w:sz w:val="18"/>
                <w:szCs w:val="18"/>
              </w:rPr>
            </w:pPr>
            <w:r>
              <w:rPr>
                <w:rFonts w:hint="eastAsia"/>
                <w:sz w:val="18"/>
                <w:szCs w:val="18"/>
              </w:rPr>
              <w:t>1</w:t>
            </w:r>
            <w:r>
              <w:rPr>
                <w:sz w:val="18"/>
                <w:szCs w:val="18"/>
              </w:rPr>
              <w:t>0</w:t>
            </w:r>
          </w:p>
        </w:tc>
      </w:tr>
      <w:tr w14:paraId="273F7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3662D42D">
            <w:pPr>
              <w:pStyle w:val="60"/>
              <w:ind w:firstLine="0" w:firstLineChars="0"/>
              <w:jc w:val="center"/>
              <w:rPr>
                <w:sz w:val="18"/>
                <w:szCs w:val="18"/>
              </w:rPr>
            </w:pPr>
          </w:p>
        </w:tc>
        <w:tc>
          <w:tcPr>
            <w:tcW w:w="2185" w:type="dxa"/>
            <w:vAlign w:val="center"/>
          </w:tcPr>
          <w:p w14:paraId="507B04D6">
            <w:pPr>
              <w:pStyle w:val="60"/>
              <w:ind w:firstLine="0" w:firstLineChars="0"/>
              <w:jc w:val="center"/>
              <w:rPr>
                <w:sz w:val="18"/>
                <w:szCs w:val="18"/>
              </w:rPr>
            </w:pPr>
            <w:r>
              <w:rPr>
                <w:rFonts w:hint="eastAsia"/>
                <w:sz w:val="18"/>
                <w:szCs w:val="18"/>
              </w:rPr>
              <w:t>深度</w:t>
            </w:r>
          </w:p>
        </w:tc>
        <w:tc>
          <w:tcPr>
            <w:tcW w:w="1526" w:type="dxa"/>
            <w:vAlign w:val="center"/>
          </w:tcPr>
          <w:p w14:paraId="3C821E15">
            <w:pPr>
              <w:pStyle w:val="60"/>
              <w:ind w:firstLine="0" w:firstLineChars="0"/>
              <w:jc w:val="center"/>
              <w:rPr>
                <w:sz w:val="18"/>
                <w:szCs w:val="18"/>
              </w:rPr>
            </w:pPr>
            <w:r>
              <w:rPr>
                <w:rFonts w:hint="eastAsia"/>
                <w:sz w:val="18"/>
                <w:szCs w:val="18"/>
              </w:rPr>
              <w:t>+20，0</w:t>
            </w:r>
          </w:p>
        </w:tc>
      </w:tr>
      <w:tr w14:paraId="21EAC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63A6E5CA">
            <w:pPr>
              <w:pStyle w:val="60"/>
              <w:ind w:firstLine="0" w:firstLineChars="0"/>
              <w:jc w:val="center"/>
              <w:rPr>
                <w:sz w:val="18"/>
                <w:szCs w:val="18"/>
              </w:rPr>
            </w:pPr>
          </w:p>
        </w:tc>
        <w:tc>
          <w:tcPr>
            <w:tcW w:w="2185" w:type="dxa"/>
            <w:vAlign w:val="center"/>
          </w:tcPr>
          <w:p w14:paraId="2F3C77B6">
            <w:pPr>
              <w:pStyle w:val="60"/>
              <w:ind w:firstLine="0" w:firstLineChars="0"/>
              <w:jc w:val="center"/>
              <w:rPr>
                <w:sz w:val="18"/>
                <w:szCs w:val="18"/>
              </w:rPr>
            </w:pPr>
            <w:r>
              <w:rPr>
                <w:rFonts w:hint="eastAsia"/>
                <w:sz w:val="18"/>
                <w:szCs w:val="18"/>
              </w:rPr>
              <w:t>孔垂直度</w:t>
            </w:r>
          </w:p>
        </w:tc>
        <w:tc>
          <w:tcPr>
            <w:tcW w:w="1526" w:type="dxa"/>
            <w:vAlign w:val="center"/>
          </w:tcPr>
          <w:p w14:paraId="3A71353B">
            <w:pPr>
              <w:pStyle w:val="60"/>
              <w:ind w:firstLine="0" w:firstLineChars="0"/>
              <w:jc w:val="center"/>
              <w:rPr>
                <w:sz w:val="18"/>
                <w:szCs w:val="18"/>
              </w:rPr>
            </w:pPr>
            <w:r>
              <w:rPr>
                <w:rFonts w:hint="eastAsia"/>
                <w:sz w:val="18"/>
                <w:szCs w:val="18"/>
              </w:rPr>
              <w:t>10</w:t>
            </w:r>
          </w:p>
        </w:tc>
      </w:tr>
      <w:tr w14:paraId="2FDE5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restart"/>
            <w:vAlign w:val="center"/>
          </w:tcPr>
          <w:p w14:paraId="3687E026">
            <w:pPr>
              <w:pStyle w:val="60"/>
              <w:ind w:firstLine="360"/>
              <w:jc w:val="center"/>
              <w:rPr>
                <w:sz w:val="18"/>
                <w:szCs w:val="18"/>
              </w:rPr>
            </w:pPr>
            <w:r>
              <w:rPr>
                <w:rFonts w:hint="eastAsia"/>
                <w:sz w:val="18"/>
                <w:szCs w:val="18"/>
              </w:rPr>
              <w:t>预埋活动</w:t>
            </w:r>
            <w:r>
              <w:rPr>
                <w:sz w:val="18"/>
                <w:szCs w:val="18"/>
              </w:rPr>
              <w:t>地脚螺栓</w:t>
            </w:r>
            <w:r>
              <w:rPr>
                <w:rFonts w:hint="eastAsia"/>
                <w:sz w:val="18"/>
                <w:szCs w:val="18"/>
              </w:rPr>
              <w:t>锚板</w:t>
            </w:r>
          </w:p>
        </w:tc>
        <w:tc>
          <w:tcPr>
            <w:tcW w:w="2185" w:type="dxa"/>
            <w:vAlign w:val="center"/>
          </w:tcPr>
          <w:p w14:paraId="69E8C2A5">
            <w:pPr>
              <w:pStyle w:val="60"/>
              <w:ind w:firstLine="0" w:firstLineChars="0"/>
              <w:jc w:val="center"/>
              <w:rPr>
                <w:sz w:val="18"/>
                <w:szCs w:val="18"/>
              </w:rPr>
            </w:pPr>
            <w:r>
              <w:rPr>
                <w:rFonts w:hint="eastAsia"/>
                <w:sz w:val="18"/>
                <w:szCs w:val="18"/>
              </w:rPr>
              <w:t>标高</w:t>
            </w:r>
          </w:p>
        </w:tc>
        <w:tc>
          <w:tcPr>
            <w:tcW w:w="1526" w:type="dxa"/>
            <w:vAlign w:val="center"/>
          </w:tcPr>
          <w:p w14:paraId="58FF6344">
            <w:pPr>
              <w:pStyle w:val="60"/>
              <w:ind w:firstLine="0" w:firstLineChars="0"/>
              <w:jc w:val="center"/>
              <w:rPr>
                <w:sz w:val="18"/>
                <w:szCs w:val="18"/>
              </w:rPr>
            </w:pPr>
            <w:r>
              <w:rPr>
                <w:rFonts w:hint="eastAsia"/>
                <w:sz w:val="18"/>
                <w:szCs w:val="18"/>
              </w:rPr>
              <w:t>+20，0</w:t>
            </w:r>
          </w:p>
        </w:tc>
      </w:tr>
      <w:tr w14:paraId="32A7C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70E9EC32">
            <w:pPr>
              <w:pStyle w:val="60"/>
              <w:ind w:firstLine="0" w:firstLineChars="0"/>
              <w:jc w:val="center"/>
              <w:rPr>
                <w:sz w:val="18"/>
                <w:szCs w:val="18"/>
              </w:rPr>
            </w:pPr>
          </w:p>
        </w:tc>
        <w:tc>
          <w:tcPr>
            <w:tcW w:w="2185" w:type="dxa"/>
            <w:vAlign w:val="center"/>
          </w:tcPr>
          <w:p w14:paraId="6B347CBB">
            <w:pPr>
              <w:pStyle w:val="60"/>
              <w:ind w:firstLine="0" w:firstLineChars="0"/>
              <w:jc w:val="center"/>
              <w:rPr>
                <w:sz w:val="18"/>
                <w:szCs w:val="18"/>
              </w:rPr>
            </w:pPr>
            <w:r>
              <w:rPr>
                <w:rFonts w:hint="eastAsia"/>
                <w:sz w:val="18"/>
                <w:szCs w:val="18"/>
              </w:rPr>
              <w:t>中心线</w:t>
            </w:r>
            <w:r>
              <w:rPr>
                <w:sz w:val="18"/>
                <w:szCs w:val="18"/>
              </w:rPr>
              <w:t>位置</w:t>
            </w:r>
          </w:p>
        </w:tc>
        <w:tc>
          <w:tcPr>
            <w:tcW w:w="1526" w:type="dxa"/>
            <w:vAlign w:val="center"/>
          </w:tcPr>
          <w:p w14:paraId="207E7D09">
            <w:pPr>
              <w:pStyle w:val="60"/>
              <w:ind w:firstLine="0" w:firstLineChars="0"/>
              <w:jc w:val="center"/>
              <w:rPr>
                <w:sz w:val="18"/>
                <w:szCs w:val="18"/>
              </w:rPr>
            </w:pPr>
            <w:r>
              <w:rPr>
                <w:rFonts w:hint="eastAsia"/>
                <w:sz w:val="18"/>
                <w:szCs w:val="18"/>
              </w:rPr>
              <w:t>5</w:t>
            </w:r>
          </w:p>
        </w:tc>
      </w:tr>
      <w:tr w14:paraId="251A7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06E1DB59">
            <w:pPr>
              <w:pStyle w:val="60"/>
              <w:ind w:firstLine="0" w:firstLineChars="0"/>
              <w:jc w:val="center"/>
              <w:rPr>
                <w:sz w:val="18"/>
                <w:szCs w:val="18"/>
              </w:rPr>
            </w:pPr>
          </w:p>
        </w:tc>
        <w:tc>
          <w:tcPr>
            <w:tcW w:w="2185" w:type="dxa"/>
            <w:vAlign w:val="center"/>
          </w:tcPr>
          <w:p w14:paraId="41B10802">
            <w:pPr>
              <w:pStyle w:val="60"/>
              <w:ind w:firstLine="0" w:firstLineChars="0"/>
              <w:jc w:val="center"/>
              <w:rPr>
                <w:sz w:val="18"/>
                <w:szCs w:val="18"/>
              </w:rPr>
            </w:pPr>
            <w:r>
              <w:rPr>
                <w:rFonts w:hint="eastAsia"/>
                <w:sz w:val="18"/>
                <w:szCs w:val="18"/>
              </w:rPr>
              <w:t>带槽</w:t>
            </w:r>
            <w:r>
              <w:rPr>
                <w:sz w:val="18"/>
                <w:szCs w:val="18"/>
              </w:rPr>
              <w:t>锚板</w:t>
            </w:r>
            <w:r>
              <w:rPr>
                <w:rFonts w:hint="eastAsia"/>
                <w:sz w:val="18"/>
                <w:szCs w:val="18"/>
              </w:rPr>
              <w:t>平整度</w:t>
            </w:r>
          </w:p>
        </w:tc>
        <w:tc>
          <w:tcPr>
            <w:tcW w:w="1526" w:type="dxa"/>
            <w:vAlign w:val="center"/>
          </w:tcPr>
          <w:p w14:paraId="4B31D97D">
            <w:pPr>
              <w:pStyle w:val="60"/>
              <w:ind w:firstLine="0" w:firstLineChars="0"/>
              <w:jc w:val="center"/>
              <w:rPr>
                <w:sz w:val="18"/>
                <w:szCs w:val="18"/>
              </w:rPr>
            </w:pPr>
            <w:r>
              <w:rPr>
                <w:rFonts w:hint="eastAsia"/>
                <w:sz w:val="18"/>
                <w:szCs w:val="18"/>
              </w:rPr>
              <w:t>5</w:t>
            </w:r>
          </w:p>
        </w:tc>
      </w:tr>
      <w:tr w14:paraId="36AD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30" w:type="dxa"/>
            <w:vMerge w:val="continue"/>
            <w:vAlign w:val="center"/>
          </w:tcPr>
          <w:p w14:paraId="6989F32C">
            <w:pPr>
              <w:pStyle w:val="60"/>
              <w:ind w:firstLine="0" w:firstLineChars="0"/>
              <w:jc w:val="center"/>
              <w:rPr>
                <w:sz w:val="18"/>
                <w:szCs w:val="18"/>
              </w:rPr>
            </w:pPr>
          </w:p>
        </w:tc>
        <w:tc>
          <w:tcPr>
            <w:tcW w:w="2185" w:type="dxa"/>
            <w:vAlign w:val="center"/>
          </w:tcPr>
          <w:p w14:paraId="2EFDD0AB">
            <w:pPr>
              <w:pStyle w:val="60"/>
              <w:ind w:firstLine="0" w:firstLineChars="0"/>
              <w:jc w:val="center"/>
              <w:rPr>
                <w:sz w:val="18"/>
                <w:szCs w:val="18"/>
              </w:rPr>
            </w:pPr>
            <w:r>
              <w:rPr>
                <w:rFonts w:hint="eastAsia"/>
                <w:sz w:val="18"/>
                <w:szCs w:val="18"/>
              </w:rPr>
              <w:t>带螺纹孔</w:t>
            </w:r>
            <w:r>
              <w:rPr>
                <w:sz w:val="18"/>
                <w:szCs w:val="18"/>
              </w:rPr>
              <w:t>锚板</w:t>
            </w:r>
            <w:r>
              <w:rPr>
                <w:rFonts w:hint="eastAsia"/>
                <w:sz w:val="18"/>
                <w:szCs w:val="18"/>
              </w:rPr>
              <w:t>平整度</w:t>
            </w:r>
          </w:p>
        </w:tc>
        <w:tc>
          <w:tcPr>
            <w:tcW w:w="1526" w:type="dxa"/>
            <w:vAlign w:val="center"/>
          </w:tcPr>
          <w:p w14:paraId="5E8A6CFB">
            <w:pPr>
              <w:pStyle w:val="60"/>
              <w:ind w:firstLine="0" w:firstLineChars="0"/>
              <w:jc w:val="center"/>
              <w:rPr>
                <w:sz w:val="18"/>
                <w:szCs w:val="18"/>
              </w:rPr>
            </w:pPr>
            <w:r>
              <w:rPr>
                <w:rFonts w:hint="eastAsia"/>
                <w:sz w:val="18"/>
                <w:szCs w:val="18"/>
              </w:rPr>
              <w:t>2</w:t>
            </w:r>
          </w:p>
        </w:tc>
      </w:tr>
    </w:tbl>
    <w:p w14:paraId="01AA1752">
      <w:pPr>
        <w:pStyle w:val="69"/>
        <w:spacing w:before="120" w:after="120"/>
        <w:ind w:left="0"/>
        <w:rPr>
          <w:rFonts w:ascii="宋体" w:hAnsi="宋体" w:eastAsia="宋体"/>
        </w:rPr>
      </w:pPr>
      <w:r>
        <w:rPr>
          <w:rFonts w:hint="eastAsia" w:ascii="宋体" w:hAnsi="宋体" w:eastAsia="宋体"/>
        </w:rPr>
        <w:t>设备安装过程中，应对设备的平面位置和标高对安装基准线的允许偏差进行检查，允许偏差应符合</w:t>
      </w:r>
      <w:r>
        <w:rPr>
          <w:rFonts w:ascii="宋体" w:hAnsi="宋体" w:eastAsia="宋体"/>
        </w:rPr>
        <w:t>表21</w:t>
      </w:r>
      <w:r>
        <w:rPr>
          <w:rFonts w:hint="eastAsia" w:ascii="宋体" w:hAnsi="宋体" w:eastAsia="宋体"/>
        </w:rPr>
        <w:t>的</w:t>
      </w:r>
      <w:r>
        <w:rPr>
          <w:rFonts w:ascii="宋体" w:hAnsi="宋体" w:eastAsia="宋体"/>
        </w:rPr>
        <w:t>规定，</w:t>
      </w:r>
      <w:r>
        <w:rPr>
          <w:rFonts w:hint="eastAsia" w:ascii="宋体" w:hAnsi="宋体" w:eastAsia="宋体"/>
        </w:rPr>
        <w:t>如超过允许偏差应进行调整。</w:t>
      </w:r>
    </w:p>
    <w:p w14:paraId="059D144F">
      <w:pPr>
        <w:pStyle w:val="60"/>
        <w:ind w:firstLine="420"/>
        <w:jc w:val="center"/>
        <w:rPr>
          <w:rFonts w:ascii="黑体" w:hAnsi="黑体" w:eastAsia="黑体"/>
        </w:rPr>
      </w:pPr>
      <w:r>
        <w:rPr>
          <w:rFonts w:hint="eastAsia" w:ascii="黑体" w:hAnsi="黑体" w:eastAsia="黑体"/>
        </w:rPr>
        <w:t>表2</w:t>
      </w:r>
      <w:r>
        <w:rPr>
          <w:rFonts w:ascii="黑体" w:hAnsi="黑体" w:eastAsia="黑体"/>
        </w:rPr>
        <w:t>1</w:t>
      </w:r>
      <w:r>
        <w:rPr>
          <w:rFonts w:hint="eastAsia" w:ascii="黑体" w:hAnsi="黑体" w:eastAsia="黑体"/>
        </w:rPr>
        <w:t xml:space="preserve"> 设备的平面位置和标高对安装基准线的允许偏差</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7"/>
        <w:gridCol w:w="1830"/>
        <w:gridCol w:w="2282"/>
      </w:tblGrid>
      <w:tr w14:paraId="5E64B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11" w:type="dxa"/>
            <w:vMerge w:val="restart"/>
            <w:vAlign w:val="center"/>
          </w:tcPr>
          <w:p w14:paraId="524F2757">
            <w:pPr>
              <w:pStyle w:val="60"/>
              <w:ind w:firstLine="0" w:firstLineChars="0"/>
              <w:jc w:val="center"/>
              <w:rPr>
                <w:sz w:val="18"/>
              </w:rPr>
            </w:pPr>
            <w:r>
              <w:rPr>
                <w:rFonts w:hint="eastAsia"/>
                <w:sz w:val="18"/>
              </w:rPr>
              <w:t>项目</w:t>
            </w:r>
          </w:p>
        </w:tc>
        <w:tc>
          <w:tcPr>
            <w:tcW w:w="4564" w:type="dxa"/>
            <w:gridSpan w:val="2"/>
            <w:vAlign w:val="center"/>
          </w:tcPr>
          <w:p w14:paraId="6096C406">
            <w:pPr>
              <w:pStyle w:val="60"/>
              <w:ind w:firstLine="0" w:firstLineChars="0"/>
              <w:jc w:val="center"/>
              <w:rPr>
                <w:sz w:val="18"/>
              </w:rPr>
            </w:pPr>
            <w:r>
              <w:rPr>
                <w:rFonts w:hint="eastAsia"/>
                <w:sz w:val="18"/>
              </w:rPr>
              <w:t>允许</w:t>
            </w:r>
            <w:r>
              <w:rPr>
                <w:sz w:val="18"/>
              </w:rPr>
              <w:t>偏差</w:t>
            </w:r>
            <w:r>
              <w:rPr>
                <w:rFonts w:hint="eastAsia"/>
                <w:sz w:val="18"/>
              </w:rPr>
              <w:t>（mm）</w:t>
            </w:r>
          </w:p>
        </w:tc>
      </w:tr>
      <w:tr w14:paraId="2606C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11" w:type="dxa"/>
            <w:vMerge w:val="continue"/>
            <w:vAlign w:val="center"/>
          </w:tcPr>
          <w:p w14:paraId="5C519F07">
            <w:pPr>
              <w:pStyle w:val="60"/>
              <w:ind w:firstLine="0" w:firstLineChars="0"/>
              <w:jc w:val="center"/>
              <w:rPr>
                <w:sz w:val="18"/>
              </w:rPr>
            </w:pPr>
          </w:p>
        </w:tc>
        <w:tc>
          <w:tcPr>
            <w:tcW w:w="2016" w:type="dxa"/>
            <w:vAlign w:val="center"/>
          </w:tcPr>
          <w:p w14:paraId="7C91F97B">
            <w:pPr>
              <w:pStyle w:val="60"/>
              <w:ind w:firstLine="0" w:firstLineChars="0"/>
              <w:jc w:val="center"/>
              <w:rPr>
                <w:sz w:val="18"/>
              </w:rPr>
            </w:pPr>
            <w:r>
              <w:rPr>
                <w:rFonts w:hint="eastAsia"/>
                <w:sz w:val="18"/>
              </w:rPr>
              <w:t>平面位置</w:t>
            </w:r>
          </w:p>
        </w:tc>
        <w:tc>
          <w:tcPr>
            <w:tcW w:w="2548" w:type="dxa"/>
            <w:vAlign w:val="center"/>
          </w:tcPr>
          <w:p w14:paraId="19A529F6">
            <w:pPr>
              <w:pStyle w:val="60"/>
              <w:ind w:firstLine="0" w:firstLineChars="0"/>
              <w:jc w:val="center"/>
              <w:rPr>
                <w:sz w:val="18"/>
              </w:rPr>
            </w:pPr>
            <w:r>
              <w:rPr>
                <w:rFonts w:hint="eastAsia"/>
                <w:sz w:val="18"/>
              </w:rPr>
              <w:t>标高</w:t>
            </w:r>
          </w:p>
        </w:tc>
      </w:tr>
      <w:tr w14:paraId="5B559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11" w:type="dxa"/>
            <w:vAlign w:val="center"/>
          </w:tcPr>
          <w:p w14:paraId="26878A81">
            <w:pPr>
              <w:pStyle w:val="60"/>
              <w:ind w:firstLine="0" w:firstLineChars="0"/>
              <w:jc w:val="center"/>
              <w:rPr>
                <w:sz w:val="18"/>
              </w:rPr>
            </w:pPr>
            <w:r>
              <w:rPr>
                <w:rFonts w:hint="eastAsia"/>
                <w:sz w:val="18"/>
              </w:rPr>
              <w:t>与其他设备无机械联系的</w:t>
            </w:r>
          </w:p>
        </w:tc>
        <w:tc>
          <w:tcPr>
            <w:tcW w:w="2016" w:type="dxa"/>
            <w:vAlign w:val="center"/>
          </w:tcPr>
          <w:p w14:paraId="5976D3F6">
            <w:pPr>
              <w:pStyle w:val="60"/>
              <w:ind w:firstLine="0" w:firstLineChars="0"/>
              <w:jc w:val="center"/>
              <w:rPr>
                <w:sz w:val="18"/>
              </w:rPr>
            </w:pPr>
            <w:r>
              <w:rPr>
                <w:rFonts w:hint="eastAsia"/>
                <w:sz w:val="18"/>
              </w:rPr>
              <w:t>±10</w:t>
            </w:r>
          </w:p>
        </w:tc>
        <w:tc>
          <w:tcPr>
            <w:tcW w:w="2548" w:type="dxa"/>
            <w:vAlign w:val="center"/>
          </w:tcPr>
          <w:p w14:paraId="6692D6C6">
            <w:pPr>
              <w:pStyle w:val="60"/>
              <w:ind w:firstLine="0" w:firstLineChars="0"/>
              <w:jc w:val="center"/>
              <w:rPr>
                <w:sz w:val="18"/>
              </w:rPr>
            </w:pPr>
            <w:r>
              <w:rPr>
                <w:rFonts w:hint="eastAsia"/>
                <w:sz w:val="18"/>
              </w:rPr>
              <w:t>+20</w:t>
            </w:r>
          </w:p>
          <w:p w14:paraId="3A8B2E8D">
            <w:pPr>
              <w:pStyle w:val="60"/>
              <w:ind w:firstLine="0" w:firstLineChars="0"/>
              <w:jc w:val="center"/>
              <w:rPr>
                <w:sz w:val="18"/>
              </w:rPr>
            </w:pPr>
            <w:r>
              <w:rPr>
                <w:rFonts w:hint="eastAsia"/>
                <w:sz w:val="18"/>
              </w:rPr>
              <w:t>-10</w:t>
            </w:r>
          </w:p>
        </w:tc>
      </w:tr>
      <w:tr w14:paraId="4AB6A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11" w:type="dxa"/>
            <w:vAlign w:val="center"/>
          </w:tcPr>
          <w:p w14:paraId="651FD2DE">
            <w:pPr>
              <w:pStyle w:val="60"/>
              <w:ind w:firstLine="0" w:firstLineChars="0"/>
              <w:jc w:val="center"/>
              <w:rPr>
                <w:sz w:val="18"/>
              </w:rPr>
            </w:pPr>
            <w:r>
              <w:rPr>
                <w:rFonts w:hint="eastAsia"/>
                <w:sz w:val="18"/>
              </w:rPr>
              <w:t>与其他设备有机械联系的</w:t>
            </w:r>
          </w:p>
        </w:tc>
        <w:tc>
          <w:tcPr>
            <w:tcW w:w="2016" w:type="dxa"/>
            <w:vAlign w:val="center"/>
          </w:tcPr>
          <w:p w14:paraId="35C1DAC3">
            <w:pPr>
              <w:pStyle w:val="60"/>
              <w:ind w:firstLine="0" w:firstLineChars="0"/>
              <w:jc w:val="center"/>
              <w:rPr>
                <w:sz w:val="18"/>
              </w:rPr>
            </w:pPr>
            <w:r>
              <w:rPr>
                <w:rFonts w:hint="eastAsia"/>
                <w:sz w:val="18"/>
              </w:rPr>
              <w:t>±2</w:t>
            </w:r>
          </w:p>
        </w:tc>
        <w:tc>
          <w:tcPr>
            <w:tcW w:w="2548" w:type="dxa"/>
            <w:vAlign w:val="center"/>
          </w:tcPr>
          <w:p w14:paraId="00FDBE38">
            <w:pPr>
              <w:pStyle w:val="60"/>
              <w:ind w:firstLine="0" w:firstLineChars="0"/>
              <w:jc w:val="center"/>
              <w:rPr>
                <w:sz w:val="18"/>
              </w:rPr>
            </w:pPr>
            <w:r>
              <w:rPr>
                <w:rFonts w:hint="eastAsia"/>
                <w:sz w:val="18"/>
              </w:rPr>
              <w:t>±1</w:t>
            </w:r>
          </w:p>
        </w:tc>
      </w:tr>
    </w:tbl>
    <w:p w14:paraId="7A94C7A9">
      <w:pPr>
        <w:pStyle w:val="69"/>
        <w:spacing w:before="120" w:after="120"/>
        <w:ind w:left="0"/>
        <w:rPr>
          <w:rFonts w:ascii="宋体" w:hAnsi="宋体" w:eastAsia="宋体"/>
        </w:rPr>
      </w:pPr>
      <w:r>
        <w:rPr>
          <w:rFonts w:hint="eastAsia" w:ascii="宋体" w:hAnsi="宋体" w:eastAsia="宋体"/>
        </w:rPr>
        <w:t>电梯安装测量应符合下列规定：</w:t>
      </w:r>
    </w:p>
    <w:p w14:paraId="355FC186">
      <w:pPr>
        <w:numPr>
          <w:ilvl w:val="0"/>
          <w:numId w:val="46"/>
        </w:numPr>
        <w:adjustRightInd/>
        <w:spacing w:before="120" w:beforeLines="50" w:after="120" w:afterLines="50" w:line="240" w:lineRule="auto"/>
        <w:rPr>
          <w:rFonts w:ascii="宋体" w:hAnsi="宋体"/>
          <w:bCs/>
        </w:rPr>
      </w:pPr>
      <w:r>
        <w:rPr>
          <w:rFonts w:hint="eastAsia" w:ascii="宋体" w:hAnsi="宋体"/>
          <w:bCs/>
        </w:rPr>
        <w:t>主体结构施工时，应做好电梯安装的准备工作，及时量测每层电梯井净空尺寸，并绘出平面图；</w:t>
      </w:r>
    </w:p>
    <w:p w14:paraId="7940EF49">
      <w:pPr>
        <w:numPr>
          <w:ilvl w:val="0"/>
          <w:numId w:val="46"/>
        </w:numPr>
        <w:adjustRightInd/>
        <w:spacing w:before="120" w:beforeLines="50" w:after="120" w:afterLines="50" w:line="240" w:lineRule="auto"/>
        <w:rPr>
          <w:rFonts w:ascii="宋体" w:hAnsi="宋体"/>
          <w:bCs/>
        </w:rPr>
      </w:pPr>
      <w:r>
        <w:rPr>
          <w:rFonts w:hint="eastAsia" w:ascii="宋体" w:hAnsi="宋体"/>
          <w:bCs/>
        </w:rPr>
        <w:t>采用垂准线法检查电梯井中心竖向误差，并绘制电梯井两个方向的纵剖面图；</w:t>
      </w:r>
    </w:p>
    <w:p w14:paraId="5E973972">
      <w:pPr>
        <w:numPr>
          <w:ilvl w:val="0"/>
          <w:numId w:val="46"/>
        </w:numPr>
        <w:adjustRightInd/>
        <w:spacing w:before="120" w:beforeLines="50" w:after="120" w:afterLines="50" w:line="240" w:lineRule="auto"/>
        <w:rPr>
          <w:rFonts w:ascii="宋体" w:hAnsi="宋体"/>
          <w:bCs/>
        </w:rPr>
      </w:pPr>
      <w:r>
        <w:rPr>
          <w:rFonts w:hint="eastAsia" w:ascii="宋体" w:hAnsi="宋体"/>
          <w:bCs/>
        </w:rPr>
        <w:t>根据检查结果提供最佳电梯井净空尺寸断面图；</w:t>
      </w:r>
    </w:p>
    <w:p w14:paraId="56B3D2A0">
      <w:pPr>
        <w:numPr>
          <w:ilvl w:val="0"/>
          <w:numId w:val="46"/>
        </w:numPr>
        <w:adjustRightInd/>
        <w:spacing w:before="120" w:beforeLines="50" w:after="120" w:afterLines="50" w:line="240" w:lineRule="auto"/>
        <w:rPr>
          <w:rFonts w:ascii="宋体" w:hAnsi="宋体"/>
          <w:bCs/>
        </w:rPr>
      </w:pPr>
      <w:r>
        <w:rPr>
          <w:rFonts w:hint="eastAsia" w:ascii="宋体" w:hAnsi="宋体"/>
          <w:bCs/>
        </w:rPr>
        <w:t>测设电梯井轨道中心位置，并用钢丝固定，各条铅垂线固定后，应分别丈量铅垂线间距离，两铅垂线全高上下较差应小于1mm，铅垂线的误差应小于1/10000；</w:t>
      </w:r>
    </w:p>
    <w:p w14:paraId="02C71C3B">
      <w:pPr>
        <w:numPr>
          <w:ilvl w:val="0"/>
          <w:numId w:val="46"/>
        </w:numPr>
        <w:adjustRightInd/>
        <w:spacing w:before="120" w:beforeLines="50" w:after="120" w:afterLines="50" w:line="240" w:lineRule="auto"/>
        <w:rPr>
          <w:rFonts w:ascii="宋体" w:hAnsi="宋体"/>
          <w:bCs/>
        </w:rPr>
      </w:pPr>
      <w:r>
        <w:rPr>
          <w:rFonts w:hint="eastAsia" w:ascii="宋体" w:hAnsi="宋体"/>
          <w:bCs/>
        </w:rPr>
        <w:t>每层弹标高水平控制线，每层梯门套两边弹两条垂直线，其相对误差应小于1/3000，并确保电梯门坎与门地面水平度一致。</w:t>
      </w:r>
    </w:p>
    <w:p w14:paraId="7F9D62F8">
      <w:pPr>
        <w:pStyle w:val="69"/>
        <w:spacing w:before="120" w:after="120"/>
        <w:ind w:left="0"/>
        <w:rPr>
          <w:rFonts w:ascii="宋体" w:hAnsi="宋体" w:eastAsia="宋体"/>
        </w:rPr>
      </w:pPr>
      <w:r>
        <w:rPr>
          <w:rFonts w:hint="eastAsia" w:ascii="宋体" w:hAnsi="宋体" w:eastAsia="宋体"/>
        </w:rPr>
        <w:t>电梯</w:t>
      </w:r>
      <w:r>
        <w:rPr>
          <w:rFonts w:ascii="宋体" w:hAnsi="宋体" w:eastAsia="宋体"/>
        </w:rPr>
        <w:t>井道壁垂直允许</w:t>
      </w:r>
      <w:r>
        <w:rPr>
          <w:rFonts w:hint="eastAsia" w:ascii="宋体" w:hAnsi="宋体" w:eastAsia="宋体"/>
        </w:rPr>
        <w:t>偏差</w:t>
      </w:r>
      <w:r>
        <w:rPr>
          <w:rFonts w:ascii="宋体" w:hAnsi="宋体" w:eastAsia="宋体"/>
        </w:rPr>
        <w:t>应符合表</w:t>
      </w:r>
      <w:r>
        <w:rPr>
          <w:rFonts w:hint="eastAsia" w:ascii="宋体" w:hAnsi="宋体" w:eastAsia="宋体"/>
        </w:rPr>
        <w:t>2</w:t>
      </w:r>
      <w:r>
        <w:rPr>
          <w:rFonts w:ascii="宋体" w:hAnsi="宋体" w:eastAsia="宋体"/>
        </w:rPr>
        <w:t>2</w:t>
      </w:r>
      <w:r>
        <w:rPr>
          <w:rFonts w:hint="eastAsia" w:ascii="宋体" w:hAnsi="宋体" w:eastAsia="宋体"/>
        </w:rPr>
        <w:t>的</w:t>
      </w:r>
      <w:r>
        <w:rPr>
          <w:rFonts w:ascii="宋体" w:hAnsi="宋体" w:eastAsia="宋体"/>
        </w:rPr>
        <w:t>规定</w:t>
      </w:r>
      <w:r>
        <w:rPr>
          <w:rFonts w:hint="eastAsia" w:ascii="宋体" w:hAnsi="宋体" w:eastAsia="宋体"/>
        </w:rPr>
        <w:t>。</w:t>
      </w:r>
    </w:p>
    <w:p w14:paraId="40B2EA9D">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22 井道壁垂直允许</w:t>
      </w:r>
      <w:r>
        <w:rPr>
          <w:rFonts w:hint="eastAsia" w:ascii="黑体" w:hAnsi="黑体" w:eastAsia="黑体"/>
          <w:bCs/>
          <w:color w:val="000000" w:themeColor="text1"/>
          <w14:textFill>
            <w14:solidFill>
              <w14:schemeClr w14:val="tx1"/>
            </w14:solidFill>
          </w14:textFill>
        </w:rPr>
        <w:t>偏差</w:t>
      </w:r>
    </w:p>
    <w:tbl>
      <w:tblPr>
        <w:tblStyle w:val="29"/>
        <w:tblW w:w="4000" w:type="pct"/>
        <w:jc w:val="center"/>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7"/>
        <w:gridCol w:w="946"/>
        <w:gridCol w:w="1396"/>
        <w:gridCol w:w="1396"/>
        <w:gridCol w:w="1621"/>
      </w:tblGrid>
      <w:tr w14:paraId="3E542150">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op w:val="single" w:color="auto" w:sz="8" w:space="0"/>
              <w:left w:val="single" w:color="auto" w:sz="4" w:space="0"/>
            </w:tcBorders>
            <w:vAlign w:val="center"/>
          </w:tcPr>
          <w:p w14:paraId="07F070EA">
            <w:pPr>
              <w:spacing w:line="240" w:lineRule="auto"/>
              <w:jc w:val="center"/>
              <w:rPr>
                <w:rFonts w:ascii="宋体" w:hAnsi="宋体"/>
                <w:sz w:val="18"/>
                <w:szCs w:val="18"/>
              </w:rPr>
            </w:pPr>
            <w:r>
              <w:rPr>
                <w:rFonts w:hint="eastAsia" w:ascii="宋体" w:hAnsi="宋体"/>
                <w:sz w:val="18"/>
                <w:szCs w:val="18"/>
              </w:rPr>
              <w:t>楼体高度（m）</w:t>
            </w:r>
          </w:p>
        </w:tc>
        <w:tc>
          <w:tcPr>
            <w:tcW w:w="0" w:type="auto"/>
            <w:tcBorders>
              <w:top w:val="single" w:color="auto" w:sz="8" w:space="0"/>
            </w:tcBorders>
            <w:vAlign w:val="center"/>
          </w:tcPr>
          <w:p w14:paraId="1D676284">
            <w:pPr>
              <w:spacing w:line="240" w:lineRule="auto"/>
              <w:jc w:val="center"/>
              <w:rPr>
                <w:rFonts w:ascii="宋体" w:hAnsi="宋体"/>
                <w:sz w:val="18"/>
                <w:szCs w:val="18"/>
              </w:rPr>
            </w:pPr>
            <w:r>
              <w:rPr>
                <w:rFonts w:hint="eastAsia" w:ascii="宋体" w:hAnsi="宋体"/>
                <w:sz w:val="18"/>
                <w:szCs w:val="18"/>
              </w:rPr>
              <w:t>≤30</w:t>
            </w:r>
          </w:p>
        </w:tc>
        <w:tc>
          <w:tcPr>
            <w:tcW w:w="0" w:type="auto"/>
            <w:tcBorders>
              <w:top w:val="single" w:color="auto" w:sz="8" w:space="0"/>
            </w:tcBorders>
            <w:vAlign w:val="center"/>
          </w:tcPr>
          <w:p w14:paraId="445305E5">
            <w:pPr>
              <w:spacing w:line="240" w:lineRule="auto"/>
              <w:jc w:val="center"/>
              <w:rPr>
                <w:rFonts w:ascii="宋体" w:hAnsi="宋体"/>
                <w:sz w:val="18"/>
                <w:szCs w:val="18"/>
              </w:rPr>
            </w:pPr>
            <w:r>
              <w:rPr>
                <w:rFonts w:hint="eastAsia" w:ascii="宋体" w:hAnsi="宋体"/>
                <w:sz w:val="18"/>
                <w:szCs w:val="18"/>
              </w:rPr>
              <w:t>＞30，≤</w:t>
            </w:r>
            <w:r>
              <w:rPr>
                <w:rFonts w:ascii="宋体" w:hAnsi="宋体"/>
                <w:sz w:val="18"/>
                <w:szCs w:val="18"/>
              </w:rPr>
              <w:t>6</w:t>
            </w:r>
            <w:r>
              <w:rPr>
                <w:rFonts w:hint="eastAsia" w:ascii="宋体" w:hAnsi="宋体"/>
                <w:sz w:val="18"/>
                <w:szCs w:val="18"/>
              </w:rPr>
              <w:t>0</w:t>
            </w:r>
          </w:p>
        </w:tc>
        <w:tc>
          <w:tcPr>
            <w:tcW w:w="0" w:type="auto"/>
            <w:tcBorders>
              <w:top w:val="single" w:color="auto" w:sz="8" w:space="0"/>
            </w:tcBorders>
            <w:vAlign w:val="center"/>
          </w:tcPr>
          <w:p w14:paraId="31D8AFDA">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60</w:t>
            </w:r>
            <w:r>
              <w:rPr>
                <w:rFonts w:hint="eastAsia" w:ascii="宋体" w:hAnsi="宋体"/>
                <w:sz w:val="18"/>
                <w:szCs w:val="18"/>
              </w:rPr>
              <w:t>，≤</w:t>
            </w:r>
            <w:r>
              <w:rPr>
                <w:rFonts w:ascii="宋体" w:hAnsi="宋体"/>
                <w:sz w:val="18"/>
                <w:szCs w:val="18"/>
              </w:rPr>
              <w:t>9</w:t>
            </w:r>
            <w:r>
              <w:rPr>
                <w:rFonts w:hint="eastAsia" w:ascii="宋体" w:hAnsi="宋体"/>
                <w:sz w:val="18"/>
                <w:szCs w:val="18"/>
              </w:rPr>
              <w:t>0</w:t>
            </w:r>
          </w:p>
        </w:tc>
        <w:tc>
          <w:tcPr>
            <w:tcW w:w="0" w:type="auto"/>
            <w:tcBorders>
              <w:top w:val="single" w:color="auto" w:sz="8" w:space="0"/>
            </w:tcBorders>
            <w:vAlign w:val="center"/>
          </w:tcPr>
          <w:p w14:paraId="6D425F0F">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90</w:t>
            </w:r>
          </w:p>
        </w:tc>
      </w:tr>
      <w:tr w14:paraId="6997DB46">
        <w:tblPrEx>
          <w:tblBorders>
            <w:top w:val="single" w:color="auto" w:sz="4" w:space="0"/>
            <w:left w:val="single" w:color="auto" w:sz="8"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left w:val="single" w:color="auto" w:sz="4" w:space="0"/>
            </w:tcBorders>
            <w:vAlign w:val="center"/>
          </w:tcPr>
          <w:p w14:paraId="5D10ECF5">
            <w:pPr>
              <w:spacing w:line="240" w:lineRule="auto"/>
              <w:jc w:val="center"/>
              <w:rPr>
                <w:rFonts w:ascii="宋体" w:hAnsi="宋体"/>
                <w:sz w:val="18"/>
                <w:szCs w:val="18"/>
              </w:rPr>
            </w:pPr>
            <w:r>
              <w:rPr>
                <w:rFonts w:hint="eastAsia" w:ascii="宋体" w:hAnsi="宋体"/>
                <w:sz w:val="18"/>
                <w:szCs w:val="18"/>
              </w:rPr>
              <w:t>贯通</w:t>
            </w:r>
            <w:r>
              <w:rPr>
                <w:rFonts w:ascii="宋体" w:hAnsi="宋体"/>
                <w:sz w:val="18"/>
                <w:szCs w:val="18"/>
              </w:rPr>
              <w:t>允许</w:t>
            </w:r>
            <w:r>
              <w:rPr>
                <w:rFonts w:hint="eastAsia" w:ascii="宋体" w:hAnsi="宋体"/>
                <w:sz w:val="18"/>
                <w:szCs w:val="18"/>
              </w:rPr>
              <w:t>误差（mm）</w:t>
            </w:r>
          </w:p>
        </w:tc>
        <w:tc>
          <w:tcPr>
            <w:tcW w:w="0" w:type="auto"/>
            <w:vAlign w:val="center"/>
          </w:tcPr>
          <w:p w14:paraId="588426C8">
            <w:pPr>
              <w:spacing w:line="240" w:lineRule="auto"/>
              <w:jc w:val="center"/>
              <w:rPr>
                <w:rFonts w:ascii="宋体" w:hAnsi="宋体"/>
                <w:sz w:val="18"/>
                <w:szCs w:val="18"/>
              </w:rPr>
            </w:pPr>
            <w:r>
              <w:rPr>
                <w:rFonts w:ascii="宋体" w:hAnsi="宋体"/>
                <w:sz w:val="18"/>
                <w:szCs w:val="18"/>
              </w:rPr>
              <w:t>0</w:t>
            </w:r>
            <w:r>
              <w:rPr>
                <w:rFonts w:hint="eastAsia" w:ascii="宋体" w:hAnsi="宋体"/>
                <w:sz w:val="18"/>
                <w:szCs w:val="18"/>
              </w:rPr>
              <w:t>～+25</w:t>
            </w:r>
          </w:p>
        </w:tc>
        <w:tc>
          <w:tcPr>
            <w:tcW w:w="0" w:type="auto"/>
            <w:vAlign w:val="center"/>
          </w:tcPr>
          <w:p w14:paraId="0D6DA640">
            <w:pPr>
              <w:spacing w:line="240" w:lineRule="auto"/>
              <w:jc w:val="center"/>
              <w:rPr>
                <w:rFonts w:ascii="宋体" w:hAnsi="宋体"/>
                <w:sz w:val="18"/>
                <w:szCs w:val="18"/>
              </w:rPr>
            </w:pPr>
            <w:r>
              <w:rPr>
                <w:rFonts w:ascii="宋体" w:hAnsi="宋体"/>
                <w:sz w:val="18"/>
                <w:szCs w:val="18"/>
              </w:rPr>
              <w:t>0</w:t>
            </w:r>
            <w:r>
              <w:rPr>
                <w:rFonts w:hint="eastAsia" w:ascii="宋体" w:hAnsi="宋体"/>
                <w:sz w:val="18"/>
                <w:szCs w:val="18"/>
              </w:rPr>
              <w:t>～+</w:t>
            </w:r>
            <w:r>
              <w:rPr>
                <w:rFonts w:ascii="宋体" w:hAnsi="宋体"/>
                <w:sz w:val="18"/>
                <w:szCs w:val="18"/>
              </w:rPr>
              <w:t>35</w:t>
            </w:r>
          </w:p>
        </w:tc>
        <w:tc>
          <w:tcPr>
            <w:tcW w:w="0" w:type="auto"/>
            <w:vAlign w:val="center"/>
          </w:tcPr>
          <w:p w14:paraId="1EA01102">
            <w:pPr>
              <w:spacing w:line="240" w:lineRule="auto"/>
              <w:jc w:val="center"/>
              <w:rPr>
                <w:rFonts w:ascii="宋体" w:hAnsi="宋体"/>
                <w:sz w:val="18"/>
                <w:szCs w:val="18"/>
              </w:rPr>
            </w:pPr>
            <w:r>
              <w:rPr>
                <w:rFonts w:ascii="宋体" w:hAnsi="宋体"/>
                <w:sz w:val="18"/>
                <w:szCs w:val="18"/>
              </w:rPr>
              <w:t>0</w:t>
            </w:r>
            <w:r>
              <w:rPr>
                <w:rFonts w:hint="eastAsia" w:ascii="宋体" w:hAnsi="宋体"/>
                <w:sz w:val="18"/>
                <w:szCs w:val="18"/>
              </w:rPr>
              <w:t>～+</w:t>
            </w:r>
            <w:r>
              <w:rPr>
                <w:rFonts w:ascii="宋体" w:hAnsi="宋体"/>
                <w:sz w:val="18"/>
                <w:szCs w:val="18"/>
              </w:rPr>
              <w:t>50</w:t>
            </w:r>
          </w:p>
        </w:tc>
        <w:tc>
          <w:tcPr>
            <w:tcW w:w="0" w:type="auto"/>
            <w:vAlign w:val="center"/>
          </w:tcPr>
          <w:p w14:paraId="71CA4252">
            <w:pPr>
              <w:spacing w:line="240" w:lineRule="auto"/>
              <w:jc w:val="center"/>
              <w:rPr>
                <w:rFonts w:ascii="宋体" w:hAnsi="宋体"/>
                <w:sz w:val="18"/>
                <w:szCs w:val="18"/>
              </w:rPr>
            </w:pPr>
            <w:r>
              <w:rPr>
                <w:rFonts w:hint="eastAsia" w:ascii="宋体" w:hAnsi="宋体"/>
                <w:sz w:val="18"/>
                <w:szCs w:val="18"/>
              </w:rPr>
              <w:t>符合设计要求</w:t>
            </w:r>
          </w:p>
        </w:tc>
      </w:tr>
    </w:tbl>
    <w:p w14:paraId="54608AAD">
      <w:pPr>
        <w:pStyle w:val="69"/>
        <w:spacing w:before="120" w:after="120"/>
        <w:ind w:left="0"/>
        <w:rPr>
          <w:rFonts w:ascii="宋体" w:hAnsi="宋体" w:eastAsia="宋体"/>
        </w:rPr>
      </w:pPr>
      <w:r>
        <w:rPr>
          <w:rFonts w:hint="eastAsia" w:ascii="宋体" w:hAnsi="宋体" w:eastAsia="宋体"/>
        </w:rPr>
        <w:t>管道安装前，以装饰控制线为依据，检查穿墙、穿层预留孔洞位置是否符合设计要求。</w:t>
      </w:r>
    </w:p>
    <w:p w14:paraId="349B6C27">
      <w:pPr>
        <w:pStyle w:val="69"/>
        <w:spacing w:before="120" w:after="120"/>
        <w:ind w:left="0"/>
        <w:rPr>
          <w:rFonts w:ascii="宋体" w:hAnsi="宋体" w:eastAsia="宋体"/>
        </w:rPr>
      </w:pPr>
      <w:r>
        <w:rPr>
          <w:rFonts w:hint="eastAsia" w:ascii="宋体" w:hAnsi="宋体" w:eastAsia="宋体"/>
        </w:rPr>
        <w:t>管道构件中心线的定位误差为±5mm，管道安装标高误差为±5mm。</w:t>
      </w:r>
    </w:p>
    <w:p w14:paraId="03144F39">
      <w:pPr>
        <w:pStyle w:val="109"/>
        <w:spacing w:before="120" w:after="120"/>
        <w:ind w:left="0"/>
      </w:pPr>
      <w:bookmarkStart w:id="100" w:name="_Toc203213058"/>
      <w:r>
        <w:rPr>
          <w:rFonts w:hint="eastAsia"/>
        </w:rPr>
        <w:t>装饰测量</w:t>
      </w:r>
      <w:bookmarkEnd w:id="100"/>
    </w:p>
    <w:p w14:paraId="08929AF7">
      <w:pPr>
        <w:pStyle w:val="69"/>
        <w:spacing w:before="120" w:after="120"/>
        <w:ind w:left="0"/>
        <w:rPr>
          <w:rFonts w:ascii="宋体" w:hAnsi="宋体" w:eastAsia="宋体"/>
        </w:rPr>
      </w:pPr>
      <w:r>
        <w:rPr>
          <w:rFonts w:hint="eastAsia" w:ascii="宋体" w:hAnsi="宋体" w:eastAsia="宋体"/>
        </w:rPr>
        <w:t>装饰施工前，根据建筑结构施工控制基准点，将装饰施工测量控制线引测到墙、柱、板面上。其精度应符合本文件9.1.3条的规定。</w:t>
      </w:r>
    </w:p>
    <w:p w14:paraId="2E057FE3">
      <w:pPr>
        <w:pStyle w:val="69"/>
        <w:spacing w:before="120" w:after="120"/>
        <w:ind w:left="0"/>
        <w:rPr>
          <w:rFonts w:ascii="宋体" w:hAnsi="宋体" w:eastAsia="宋体"/>
        </w:rPr>
      </w:pPr>
      <w:r>
        <w:rPr>
          <w:rFonts w:hint="eastAsia" w:ascii="宋体" w:hAnsi="宋体" w:eastAsia="宋体"/>
        </w:rPr>
        <w:t>对于结构形式复杂的工程，需要在给定原有标高控制点的基础上，引测装饰标高基准点。</w:t>
      </w:r>
    </w:p>
    <w:p w14:paraId="2ED994CF">
      <w:pPr>
        <w:pStyle w:val="69"/>
        <w:spacing w:before="120" w:after="120"/>
        <w:ind w:left="0"/>
        <w:rPr>
          <w:rFonts w:ascii="宋体" w:hAnsi="宋体" w:eastAsia="宋体"/>
        </w:rPr>
      </w:pPr>
      <w:r>
        <w:rPr>
          <w:rFonts w:hint="eastAsia" w:ascii="宋体" w:hAnsi="宋体" w:eastAsia="宋体"/>
        </w:rPr>
        <w:t>室内地面</w:t>
      </w:r>
      <w:r>
        <w:rPr>
          <w:rFonts w:ascii="宋体" w:hAnsi="宋体" w:eastAsia="宋体"/>
        </w:rPr>
        <w:t>面层测量应符合下列规定：</w:t>
      </w:r>
    </w:p>
    <w:p w14:paraId="154CE306">
      <w:pPr>
        <w:numPr>
          <w:ilvl w:val="0"/>
          <w:numId w:val="47"/>
        </w:numPr>
        <w:adjustRightInd/>
        <w:spacing w:before="120" w:beforeLines="50" w:after="120" w:afterLines="50" w:line="240" w:lineRule="auto"/>
        <w:rPr>
          <w:rFonts w:ascii="宋体" w:hAnsi="宋体"/>
          <w:bCs/>
        </w:rPr>
      </w:pPr>
      <w:r>
        <w:rPr>
          <w:rFonts w:hint="eastAsia" w:ascii="宋体" w:hAnsi="宋体"/>
          <w:bCs/>
        </w:rPr>
        <w:t>在四周墙身与柱身上投测出500</w:t>
      </w:r>
      <w:r>
        <w:rPr>
          <w:rFonts w:ascii="宋体" w:hAnsi="宋体"/>
          <w:bCs/>
        </w:rPr>
        <w:t>mm</w:t>
      </w:r>
      <w:r>
        <w:rPr>
          <w:rFonts w:hint="eastAsia" w:ascii="宋体" w:hAnsi="宋体"/>
          <w:bCs/>
        </w:rPr>
        <w:t>或1000</w:t>
      </w:r>
      <w:r>
        <w:rPr>
          <w:rFonts w:ascii="宋体" w:hAnsi="宋体"/>
          <w:bCs/>
        </w:rPr>
        <w:t>mm</w:t>
      </w:r>
      <w:r>
        <w:rPr>
          <w:rFonts w:hint="eastAsia" w:ascii="宋体" w:hAnsi="宋体"/>
          <w:bCs/>
        </w:rPr>
        <w:t>水平线，作为地面面层施工标高控制线；同一区域内铺设标高控制线允许误差应小于1mm；</w:t>
      </w:r>
    </w:p>
    <w:p w14:paraId="2AD84FC6">
      <w:pPr>
        <w:numPr>
          <w:ilvl w:val="0"/>
          <w:numId w:val="47"/>
        </w:numPr>
        <w:adjustRightInd/>
        <w:spacing w:before="120" w:beforeLines="50" w:after="120" w:afterLines="50" w:line="240" w:lineRule="auto"/>
        <w:rPr>
          <w:rFonts w:ascii="宋体" w:hAnsi="宋体"/>
          <w:bCs/>
        </w:rPr>
      </w:pPr>
      <w:r>
        <w:rPr>
          <w:rFonts w:hint="eastAsia" w:ascii="宋体" w:hAnsi="宋体"/>
          <w:bCs/>
        </w:rPr>
        <w:t>按设计图纸在地面基层上弹出装饰分格线，相邻分格线间距允许误差应小于1mm；</w:t>
      </w:r>
    </w:p>
    <w:p w14:paraId="0F7A0087">
      <w:pPr>
        <w:numPr>
          <w:ilvl w:val="0"/>
          <w:numId w:val="47"/>
        </w:numPr>
        <w:adjustRightInd/>
        <w:spacing w:before="120" w:beforeLines="50" w:after="120" w:afterLines="50" w:line="240" w:lineRule="auto"/>
        <w:rPr>
          <w:rFonts w:ascii="宋体" w:hAnsi="宋体"/>
          <w:bCs/>
        </w:rPr>
      </w:pPr>
      <w:r>
        <w:rPr>
          <w:rFonts w:hint="eastAsia" w:ascii="宋体" w:hAnsi="宋体"/>
          <w:bCs/>
        </w:rPr>
        <w:t>根据每层结构施工轴线放出各分隔墙线及门窗洞口的位置线，门窗洞口位置误差应小于2mm。</w:t>
      </w:r>
    </w:p>
    <w:p w14:paraId="4DC18ABA">
      <w:pPr>
        <w:pStyle w:val="69"/>
        <w:spacing w:before="120" w:after="120"/>
        <w:ind w:left="0"/>
        <w:rPr>
          <w:rFonts w:ascii="宋体" w:hAnsi="宋体" w:eastAsia="宋体"/>
        </w:rPr>
      </w:pPr>
      <w:r>
        <w:rPr>
          <w:rFonts w:hint="eastAsia" w:ascii="宋体" w:hAnsi="宋体" w:eastAsia="宋体"/>
        </w:rPr>
        <w:t>吊顶装饰测量应</w:t>
      </w:r>
      <w:r>
        <w:rPr>
          <w:rFonts w:ascii="宋体" w:hAnsi="宋体" w:eastAsia="宋体"/>
        </w:rPr>
        <w:t>符合下列规定：</w:t>
      </w:r>
    </w:p>
    <w:p w14:paraId="08218B24">
      <w:pPr>
        <w:numPr>
          <w:ilvl w:val="0"/>
          <w:numId w:val="48"/>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根据室内标高控制线，弹出吊顶边龙骨的底边标高线。同一区域内标高控制线允许误差应小于1mm；</w:t>
      </w:r>
    </w:p>
    <w:p w14:paraId="336EAD92">
      <w:pPr>
        <w:numPr>
          <w:ilvl w:val="0"/>
          <w:numId w:val="48"/>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平面定位线，按吊顶平面图在混凝土顶板弹设主龙骨分档线，相邻定位线间距允许误差应小于1mm；</w:t>
      </w:r>
    </w:p>
    <w:p w14:paraId="44118489">
      <w:pPr>
        <w:numPr>
          <w:ilvl w:val="0"/>
          <w:numId w:val="48"/>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吊顶龙骨安装后，需检测龙骨调平精度，局部起拱高度应符合设计要求，整体平整度误差应小于2mm‌。</w:t>
      </w:r>
    </w:p>
    <w:p w14:paraId="145BEEA4">
      <w:pPr>
        <w:pStyle w:val="69"/>
        <w:spacing w:before="120" w:after="120"/>
        <w:ind w:left="0"/>
        <w:rPr>
          <w:rFonts w:ascii="宋体" w:hAnsi="宋体" w:eastAsia="宋体"/>
        </w:rPr>
      </w:pPr>
      <w:r>
        <w:rPr>
          <w:rFonts w:hint="eastAsia" w:ascii="宋体" w:hAnsi="宋体" w:eastAsia="宋体"/>
        </w:rPr>
        <w:t>墙面装饰测量</w:t>
      </w:r>
      <w:r>
        <w:rPr>
          <w:rFonts w:ascii="宋体" w:hAnsi="宋体" w:eastAsia="宋体"/>
        </w:rPr>
        <w:t>应</w:t>
      </w:r>
      <w:r>
        <w:rPr>
          <w:rFonts w:hint="eastAsia" w:ascii="宋体" w:hAnsi="宋体" w:eastAsia="宋体"/>
        </w:rPr>
        <w:t>符合</w:t>
      </w:r>
      <w:r>
        <w:rPr>
          <w:rFonts w:ascii="宋体" w:hAnsi="宋体" w:eastAsia="宋体"/>
        </w:rPr>
        <w:t>下列规定：</w:t>
      </w:r>
    </w:p>
    <w:p w14:paraId="0CDDAEC6">
      <w:pPr>
        <w:numPr>
          <w:ilvl w:val="0"/>
          <w:numId w:val="49"/>
        </w:numPr>
        <w:adjustRightInd/>
        <w:spacing w:before="120" w:beforeLines="50" w:after="120" w:afterLines="50" w:line="240" w:lineRule="auto"/>
        <w:rPr>
          <w:rFonts w:ascii="宋体" w:hAnsi="宋体"/>
          <w:bCs/>
        </w:rPr>
      </w:pPr>
      <w:r>
        <w:rPr>
          <w:rFonts w:hint="eastAsia" w:ascii="宋体" w:hAnsi="宋体"/>
          <w:bCs/>
        </w:rPr>
        <w:t>根据设计图纸和现场实际尺寸，在地面上测设墙体完成面的控制线和墙体中心线；</w:t>
      </w:r>
    </w:p>
    <w:p w14:paraId="46704CA8">
      <w:pPr>
        <w:numPr>
          <w:ilvl w:val="0"/>
          <w:numId w:val="49"/>
        </w:numPr>
        <w:adjustRightInd/>
        <w:spacing w:before="120" w:beforeLines="50" w:after="120" w:afterLines="50" w:line="240" w:lineRule="auto"/>
        <w:rPr>
          <w:rFonts w:ascii="宋体" w:hAnsi="宋体"/>
          <w:bCs/>
        </w:rPr>
      </w:pPr>
      <w:r>
        <w:rPr>
          <w:rFonts w:hint="eastAsia" w:ascii="宋体" w:hAnsi="宋体"/>
          <w:bCs/>
        </w:rPr>
        <w:t>垂直控制线两次投测的较差应小于2mm，相邻控制线间距允许误差应小于1mm，同一区域内标高控制线允许误差应小于1mm；</w:t>
      </w:r>
    </w:p>
    <w:p w14:paraId="25B3E8FC">
      <w:pPr>
        <w:numPr>
          <w:ilvl w:val="0"/>
          <w:numId w:val="49"/>
        </w:numPr>
        <w:adjustRightInd/>
        <w:spacing w:before="120" w:beforeLines="50" w:after="120" w:afterLines="50" w:line="240" w:lineRule="auto"/>
        <w:rPr>
          <w:rFonts w:ascii="宋体" w:hAnsi="宋体"/>
          <w:bCs/>
        </w:rPr>
      </w:pPr>
      <w:r>
        <w:rPr>
          <w:rFonts w:hint="eastAsia" w:ascii="宋体" w:hAnsi="宋体"/>
          <w:bCs/>
        </w:rPr>
        <w:t>墙面装饰按设计要求分格分块时，其分格线与分块线测量的允许误差应小于1mm；</w:t>
      </w:r>
    </w:p>
    <w:p w14:paraId="6AF64FD3">
      <w:pPr>
        <w:numPr>
          <w:ilvl w:val="0"/>
          <w:numId w:val="49"/>
        </w:numPr>
        <w:adjustRightInd/>
        <w:spacing w:before="120" w:beforeLines="50" w:after="120" w:afterLines="50" w:line="240" w:lineRule="auto"/>
        <w:rPr>
          <w:rFonts w:ascii="宋体" w:hAnsi="宋体"/>
          <w:bCs/>
        </w:rPr>
      </w:pPr>
      <w:r>
        <w:rPr>
          <w:rFonts w:hint="eastAsia" w:ascii="宋体" w:hAnsi="宋体"/>
          <w:bCs/>
        </w:rPr>
        <w:t>隔墙安装应垂直、平整、位置准确，允许偏差应符合表2</w:t>
      </w:r>
      <w:r>
        <w:rPr>
          <w:rFonts w:ascii="宋体" w:hAnsi="宋体"/>
          <w:bCs/>
        </w:rPr>
        <w:t>3</w:t>
      </w:r>
      <w:r>
        <w:rPr>
          <w:rFonts w:hint="eastAsia" w:ascii="宋体" w:hAnsi="宋体"/>
          <w:bCs/>
        </w:rPr>
        <w:t>的规定。</w:t>
      </w:r>
    </w:p>
    <w:p w14:paraId="6DEC6D20">
      <w:pPr>
        <w:spacing w:before="120" w:beforeLines="50" w:after="120" w:afterLines="50"/>
        <w:jc w:val="center"/>
      </w:pPr>
      <w:r>
        <w:rPr>
          <w:rFonts w:hint="eastAsia" w:ascii="黑体" w:hAnsi="黑体" w:eastAsia="黑体"/>
          <w:bCs/>
          <w:color w:val="000000" w:themeColor="text1"/>
          <w14:textFill>
            <w14:solidFill>
              <w14:schemeClr w14:val="tx1"/>
            </w14:solidFill>
          </w14:textFill>
        </w:rPr>
        <w:t>表2</w:t>
      </w:r>
      <w:r>
        <w:rPr>
          <w:rFonts w:ascii="黑体" w:hAnsi="黑体" w:eastAsia="黑体"/>
          <w:bCs/>
          <w:color w:val="000000" w:themeColor="text1"/>
          <w14:textFill>
            <w14:solidFill>
              <w14:schemeClr w14:val="tx1"/>
            </w14:solidFill>
          </w14:textFill>
        </w:rPr>
        <w:t xml:space="preserve">3 </w:t>
      </w:r>
      <w:r>
        <w:rPr>
          <w:rFonts w:hint="eastAsia" w:ascii="黑体" w:hAnsi="黑体" w:eastAsia="黑体"/>
          <w:bCs/>
          <w:color w:val="000000" w:themeColor="text1"/>
          <w14:textFill>
            <w14:solidFill>
              <w14:schemeClr w14:val="tx1"/>
            </w14:solidFill>
          </w14:textFill>
        </w:rPr>
        <w:t>隔墙安装的允许偏差</w:t>
      </w:r>
    </w:p>
    <w:tbl>
      <w:tblPr>
        <w:tblStyle w:val="30"/>
        <w:tblW w:w="3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6"/>
        <w:gridCol w:w="1268"/>
        <w:gridCol w:w="1268"/>
        <w:gridCol w:w="1268"/>
        <w:gridCol w:w="1269"/>
      </w:tblGrid>
      <w:tr w14:paraId="1D5D4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vAlign w:val="center"/>
          </w:tcPr>
          <w:p w14:paraId="0B280CDF">
            <w:pPr>
              <w:spacing w:line="276" w:lineRule="auto"/>
              <w:jc w:val="center"/>
              <w:rPr>
                <w:rFonts w:ascii="宋体" w:hAnsi="宋体"/>
                <w:sz w:val="18"/>
                <w:szCs w:val="18"/>
              </w:rPr>
            </w:pPr>
            <w:r>
              <w:rPr>
                <w:rFonts w:hint="eastAsia" w:ascii="宋体" w:hAnsi="宋体"/>
                <w:sz w:val="18"/>
                <w:szCs w:val="18"/>
              </w:rPr>
              <w:t>检验项目</w:t>
            </w:r>
          </w:p>
        </w:tc>
        <w:tc>
          <w:tcPr>
            <w:tcW w:w="3921" w:type="dxa"/>
            <w:gridSpan w:val="4"/>
            <w:vAlign w:val="center"/>
          </w:tcPr>
          <w:p w14:paraId="12735477">
            <w:pPr>
              <w:spacing w:line="276" w:lineRule="auto"/>
              <w:jc w:val="center"/>
              <w:rPr>
                <w:rFonts w:ascii="宋体" w:hAnsi="宋体"/>
                <w:sz w:val="18"/>
                <w:szCs w:val="18"/>
              </w:rPr>
            </w:pPr>
            <w:r>
              <w:rPr>
                <w:rFonts w:hint="eastAsia" w:ascii="宋体" w:hAnsi="宋体"/>
                <w:sz w:val="18"/>
                <w:szCs w:val="18"/>
              </w:rPr>
              <w:t>允许偏差（mm）</w:t>
            </w:r>
          </w:p>
        </w:tc>
      </w:tr>
      <w:tr w14:paraId="0ADAA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vAlign w:val="center"/>
          </w:tcPr>
          <w:p w14:paraId="531054AB">
            <w:pPr>
              <w:spacing w:line="276" w:lineRule="auto"/>
              <w:jc w:val="center"/>
              <w:rPr>
                <w:rFonts w:ascii="宋体" w:hAnsi="宋体"/>
                <w:sz w:val="18"/>
                <w:szCs w:val="18"/>
              </w:rPr>
            </w:pPr>
          </w:p>
        </w:tc>
        <w:tc>
          <w:tcPr>
            <w:tcW w:w="980" w:type="dxa"/>
            <w:vAlign w:val="center"/>
          </w:tcPr>
          <w:p w14:paraId="529F2912">
            <w:pPr>
              <w:spacing w:line="276" w:lineRule="auto"/>
              <w:jc w:val="center"/>
              <w:rPr>
                <w:rFonts w:ascii="宋体" w:hAnsi="宋体"/>
                <w:sz w:val="18"/>
                <w:szCs w:val="18"/>
              </w:rPr>
            </w:pPr>
            <w:r>
              <w:rPr>
                <w:rFonts w:hint="eastAsia" w:ascii="宋体" w:hAnsi="宋体"/>
                <w:sz w:val="18"/>
                <w:szCs w:val="18"/>
              </w:rPr>
              <w:t>板材隔墙</w:t>
            </w:r>
          </w:p>
        </w:tc>
        <w:tc>
          <w:tcPr>
            <w:tcW w:w="980" w:type="dxa"/>
            <w:vAlign w:val="center"/>
          </w:tcPr>
          <w:p w14:paraId="723F9597">
            <w:pPr>
              <w:spacing w:line="276" w:lineRule="auto"/>
              <w:jc w:val="center"/>
              <w:rPr>
                <w:rFonts w:ascii="宋体" w:hAnsi="宋体"/>
                <w:sz w:val="18"/>
                <w:szCs w:val="18"/>
              </w:rPr>
            </w:pPr>
            <w:r>
              <w:rPr>
                <w:rFonts w:hint="eastAsia" w:ascii="宋体" w:hAnsi="宋体"/>
                <w:sz w:val="18"/>
                <w:szCs w:val="18"/>
              </w:rPr>
              <w:t>骨架隔墙</w:t>
            </w:r>
          </w:p>
        </w:tc>
        <w:tc>
          <w:tcPr>
            <w:tcW w:w="980" w:type="dxa"/>
            <w:vAlign w:val="center"/>
          </w:tcPr>
          <w:p w14:paraId="53ADCD8D">
            <w:pPr>
              <w:spacing w:line="276" w:lineRule="auto"/>
              <w:jc w:val="center"/>
              <w:rPr>
                <w:rFonts w:ascii="宋体" w:hAnsi="宋体"/>
                <w:sz w:val="18"/>
                <w:szCs w:val="18"/>
              </w:rPr>
            </w:pPr>
            <w:r>
              <w:rPr>
                <w:rFonts w:hint="eastAsia" w:ascii="宋体" w:hAnsi="宋体"/>
                <w:sz w:val="18"/>
                <w:szCs w:val="18"/>
              </w:rPr>
              <w:t>玻璃隔墙</w:t>
            </w:r>
          </w:p>
        </w:tc>
        <w:tc>
          <w:tcPr>
            <w:tcW w:w="981" w:type="dxa"/>
            <w:vAlign w:val="center"/>
          </w:tcPr>
          <w:p w14:paraId="7B5AD45F">
            <w:pPr>
              <w:spacing w:line="276" w:lineRule="auto"/>
              <w:jc w:val="center"/>
              <w:rPr>
                <w:rFonts w:ascii="宋体" w:hAnsi="宋体"/>
                <w:sz w:val="18"/>
                <w:szCs w:val="18"/>
              </w:rPr>
            </w:pPr>
            <w:r>
              <w:rPr>
                <w:rFonts w:hint="eastAsia" w:ascii="宋体" w:hAnsi="宋体"/>
                <w:sz w:val="18"/>
                <w:szCs w:val="18"/>
              </w:rPr>
              <w:t>活动隔墙</w:t>
            </w:r>
          </w:p>
        </w:tc>
      </w:tr>
      <w:tr w14:paraId="353A3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Align w:val="center"/>
          </w:tcPr>
          <w:p w14:paraId="2BCC93AE">
            <w:pPr>
              <w:spacing w:line="276" w:lineRule="auto"/>
              <w:jc w:val="center"/>
              <w:rPr>
                <w:rFonts w:ascii="宋体" w:hAnsi="宋体"/>
                <w:sz w:val="18"/>
                <w:szCs w:val="18"/>
              </w:rPr>
            </w:pPr>
            <w:r>
              <w:rPr>
                <w:rFonts w:hint="eastAsia" w:ascii="宋体" w:hAnsi="宋体"/>
                <w:sz w:val="18"/>
                <w:szCs w:val="18"/>
              </w:rPr>
              <w:t>立面垂直度</w:t>
            </w:r>
          </w:p>
        </w:tc>
        <w:tc>
          <w:tcPr>
            <w:tcW w:w="980" w:type="dxa"/>
            <w:vAlign w:val="center"/>
          </w:tcPr>
          <w:p w14:paraId="45DF480C">
            <w:pPr>
              <w:spacing w:line="276" w:lineRule="auto"/>
              <w:jc w:val="center"/>
              <w:rPr>
                <w:rFonts w:ascii="宋体" w:hAnsi="宋体"/>
                <w:sz w:val="18"/>
                <w:szCs w:val="18"/>
              </w:rPr>
            </w:pPr>
            <w:r>
              <w:rPr>
                <w:rFonts w:hint="eastAsia" w:ascii="宋体" w:hAnsi="宋体"/>
                <w:sz w:val="18"/>
                <w:szCs w:val="18"/>
              </w:rPr>
              <w:t>2</w:t>
            </w:r>
          </w:p>
        </w:tc>
        <w:tc>
          <w:tcPr>
            <w:tcW w:w="980" w:type="dxa"/>
            <w:vAlign w:val="center"/>
          </w:tcPr>
          <w:p w14:paraId="3E11F0CC">
            <w:pPr>
              <w:spacing w:line="276" w:lineRule="auto"/>
              <w:jc w:val="center"/>
              <w:rPr>
                <w:rFonts w:ascii="宋体" w:hAnsi="宋体"/>
                <w:sz w:val="18"/>
                <w:szCs w:val="18"/>
              </w:rPr>
            </w:pPr>
            <w:r>
              <w:rPr>
                <w:rFonts w:hint="eastAsia" w:ascii="宋体" w:hAnsi="宋体"/>
                <w:sz w:val="18"/>
                <w:szCs w:val="18"/>
              </w:rPr>
              <w:t>3</w:t>
            </w:r>
          </w:p>
        </w:tc>
        <w:tc>
          <w:tcPr>
            <w:tcW w:w="980" w:type="dxa"/>
            <w:vAlign w:val="center"/>
          </w:tcPr>
          <w:p w14:paraId="06BC4B50">
            <w:pPr>
              <w:spacing w:line="276" w:lineRule="auto"/>
              <w:jc w:val="center"/>
              <w:rPr>
                <w:rFonts w:ascii="宋体" w:hAnsi="宋体"/>
                <w:sz w:val="18"/>
                <w:szCs w:val="18"/>
              </w:rPr>
            </w:pPr>
            <w:r>
              <w:rPr>
                <w:rFonts w:hint="eastAsia" w:ascii="宋体" w:hAnsi="宋体"/>
                <w:sz w:val="18"/>
                <w:szCs w:val="18"/>
              </w:rPr>
              <w:t>3</w:t>
            </w:r>
          </w:p>
        </w:tc>
        <w:tc>
          <w:tcPr>
            <w:tcW w:w="981" w:type="dxa"/>
            <w:vAlign w:val="center"/>
          </w:tcPr>
          <w:p w14:paraId="154D70A8">
            <w:pPr>
              <w:spacing w:line="276" w:lineRule="auto"/>
              <w:jc w:val="center"/>
              <w:rPr>
                <w:rFonts w:ascii="宋体" w:hAnsi="宋体"/>
                <w:sz w:val="18"/>
                <w:szCs w:val="18"/>
              </w:rPr>
            </w:pPr>
            <w:r>
              <w:rPr>
                <w:rFonts w:hint="eastAsia" w:ascii="宋体" w:hAnsi="宋体"/>
                <w:sz w:val="18"/>
                <w:szCs w:val="18"/>
              </w:rPr>
              <w:t>3</w:t>
            </w:r>
          </w:p>
        </w:tc>
      </w:tr>
      <w:tr w14:paraId="08A92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Align w:val="center"/>
          </w:tcPr>
          <w:p w14:paraId="7CDEE729">
            <w:pPr>
              <w:spacing w:line="276" w:lineRule="auto"/>
              <w:jc w:val="center"/>
              <w:rPr>
                <w:rFonts w:ascii="宋体" w:hAnsi="宋体"/>
                <w:sz w:val="18"/>
                <w:szCs w:val="18"/>
              </w:rPr>
            </w:pPr>
            <w:r>
              <w:rPr>
                <w:rFonts w:hint="eastAsia" w:ascii="宋体" w:hAnsi="宋体"/>
                <w:sz w:val="18"/>
                <w:szCs w:val="18"/>
              </w:rPr>
              <w:t>表面垂直度</w:t>
            </w:r>
          </w:p>
        </w:tc>
        <w:tc>
          <w:tcPr>
            <w:tcW w:w="980" w:type="dxa"/>
            <w:vAlign w:val="center"/>
          </w:tcPr>
          <w:p w14:paraId="4A4DBF76">
            <w:pPr>
              <w:spacing w:line="276" w:lineRule="auto"/>
              <w:jc w:val="center"/>
              <w:rPr>
                <w:rFonts w:ascii="宋体" w:hAnsi="宋体"/>
                <w:sz w:val="18"/>
                <w:szCs w:val="18"/>
              </w:rPr>
            </w:pPr>
            <w:r>
              <w:rPr>
                <w:rFonts w:hint="eastAsia" w:ascii="宋体" w:hAnsi="宋体"/>
                <w:sz w:val="18"/>
                <w:szCs w:val="18"/>
              </w:rPr>
              <w:t>2</w:t>
            </w:r>
          </w:p>
        </w:tc>
        <w:tc>
          <w:tcPr>
            <w:tcW w:w="980" w:type="dxa"/>
            <w:vAlign w:val="center"/>
          </w:tcPr>
          <w:p w14:paraId="494CCE43">
            <w:pPr>
              <w:spacing w:line="276" w:lineRule="auto"/>
              <w:jc w:val="center"/>
              <w:rPr>
                <w:rFonts w:ascii="宋体" w:hAnsi="宋体"/>
                <w:sz w:val="18"/>
                <w:szCs w:val="18"/>
              </w:rPr>
            </w:pPr>
            <w:r>
              <w:rPr>
                <w:rFonts w:hint="eastAsia" w:ascii="宋体" w:hAnsi="宋体"/>
                <w:sz w:val="18"/>
                <w:szCs w:val="18"/>
              </w:rPr>
              <w:t>3</w:t>
            </w:r>
          </w:p>
        </w:tc>
        <w:tc>
          <w:tcPr>
            <w:tcW w:w="980" w:type="dxa"/>
            <w:vAlign w:val="center"/>
          </w:tcPr>
          <w:p w14:paraId="53119256">
            <w:pPr>
              <w:spacing w:line="276" w:lineRule="auto"/>
              <w:jc w:val="center"/>
              <w:rPr>
                <w:rFonts w:ascii="宋体" w:hAnsi="宋体"/>
                <w:sz w:val="18"/>
                <w:szCs w:val="18"/>
              </w:rPr>
            </w:pPr>
            <w:r>
              <w:rPr>
                <w:rFonts w:hint="eastAsia" w:ascii="宋体" w:hAnsi="宋体"/>
                <w:sz w:val="18"/>
                <w:szCs w:val="18"/>
              </w:rPr>
              <w:t>3</w:t>
            </w:r>
          </w:p>
        </w:tc>
        <w:tc>
          <w:tcPr>
            <w:tcW w:w="981" w:type="dxa"/>
            <w:vAlign w:val="center"/>
          </w:tcPr>
          <w:p w14:paraId="004DB4E3">
            <w:pPr>
              <w:spacing w:line="276" w:lineRule="auto"/>
              <w:jc w:val="center"/>
              <w:rPr>
                <w:rFonts w:ascii="宋体" w:hAnsi="宋体"/>
                <w:sz w:val="18"/>
                <w:szCs w:val="18"/>
              </w:rPr>
            </w:pPr>
            <w:r>
              <w:rPr>
                <w:rFonts w:hint="eastAsia" w:ascii="宋体" w:hAnsi="宋体"/>
                <w:sz w:val="18"/>
                <w:szCs w:val="18"/>
              </w:rPr>
              <w:t>2</w:t>
            </w:r>
          </w:p>
        </w:tc>
      </w:tr>
    </w:tbl>
    <w:p w14:paraId="5196D3E5">
      <w:pPr>
        <w:pStyle w:val="69"/>
        <w:spacing w:before="120" w:after="120"/>
        <w:ind w:left="0"/>
        <w:rPr>
          <w:rFonts w:ascii="宋体" w:hAnsi="宋体" w:eastAsia="宋体"/>
        </w:rPr>
      </w:pPr>
      <w:r>
        <w:rPr>
          <w:rFonts w:hint="eastAsia" w:ascii="宋体" w:hAnsi="宋体" w:eastAsia="宋体"/>
        </w:rPr>
        <w:t>门窗安装测量应</w:t>
      </w:r>
      <w:r>
        <w:rPr>
          <w:rFonts w:ascii="宋体" w:hAnsi="宋体" w:eastAsia="宋体"/>
        </w:rPr>
        <w:t>符合下列规定：</w:t>
      </w:r>
    </w:p>
    <w:p w14:paraId="3FAB8464">
      <w:pPr>
        <w:numPr>
          <w:ilvl w:val="0"/>
          <w:numId w:val="50"/>
        </w:numPr>
        <w:adjustRightInd/>
        <w:spacing w:before="120" w:beforeLines="50" w:after="120" w:afterLines="50" w:line="240" w:lineRule="auto"/>
        <w:rPr>
          <w:rFonts w:ascii="宋体" w:hAnsi="宋体"/>
          <w:bCs/>
        </w:rPr>
      </w:pPr>
      <w:r>
        <w:rPr>
          <w:rFonts w:hint="eastAsia" w:ascii="宋体" w:hAnsi="宋体"/>
          <w:bCs/>
        </w:rPr>
        <w:t>施工测量前，使用钢尺或测距仪实测实量门、窗洞口净空尺寸偏差，并绘图记录；</w:t>
      </w:r>
    </w:p>
    <w:p w14:paraId="723A1EF9">
      <w:pPr>
        <w:numPr>
          <w:ilvl w:val="0"/>
          <w:numId w:val="50"/>
        </w:numPr>
        <w:adjustRightInd/>
        <w:spacing w:before="120" w:beforeLines="50" w:after="120" w:afterLines="50" w:line="240" w:lineRule="auto"/>
        <w:rPr>
          <w:rFonts w:ascii="宋体" w:hAnsi="宋体"/>
          <w:bCs/>
        </w:rPr>
      </w:pPr>
      <w:r>
        <w:rPr>
          <w:rFonts w:hint="eastAsia" w:ascii="宋体" w:hAnsi="宋体"/>
          <w:bCs/>
        </w:rPr>
        <w:t>门窗安装控制线，依据装饰施工测量控制线，在内外墙面上弹出水平控制线、垂直控制线，相邻控制线间距允许误差应小于1mm。</w:t>
      </w:r>
    </w:p>
    <w:p w14:paraId="232D7EE5">
      <w:pPr>
        <w:pStyle w:val="69"/>
        <w:spacing w:before="120" w:after="120"/>
        <w:ind w:left="0"/>
        <w:rPr>
          <w:rFonts w:ascii="宋体" w:hAnsi="宋体" w:eastAsia="宋体"/>
        </w:rPr>
      </w:pPr>
      <w:r>
        <w:rPr>
          <w:rFonts w:hint="eastAsia" w:ascii="宋体" w:hAnsi="宋体" w:eastAsia="宋体"/>
        </w:rPr>
        <w:t>幕墙安装测量</w:t>
      </w:r>
      <w:r>
        <w:rPr>
          <w:rFonts w:ascii="宋体" w:hAnsi="宋体" w:eastAsia="宋体"/>
        </w:rPr>
        <w:t>应符合下列规定：</w:t>
      </w:r>
    </w:p>
    <w:p w14:paraId="5F5D10E5">
      <w:pPr>
        <w:numPr>
          <w:ilvl w:val="0"/>
          <w:numId w:val="51"/>
        </w:numPr>
        <w:adjustRightInd/>
        <w:spacing w:before="120" w:beforeLines="50" w:after="120" w:afterLines="50" w:line="240" w:lineRule="auto"/>
        <w:rPr>
          <w:rFonts w:ascii="宋体" w:hAnsi="宋体"/>
          <w:bCs/>
        </w:rPr>
      </w:pPr>
      <w:r>
        <w:rPr>
          <w:rFonts w:hint="eastAsia" w:ascii="宋体" w:hAnsi="宋体"/>
          <w:bCs/>
        </w:rPr>
        <w:t>施工测量前，应对主体</w:t>
      </w:r>
      <w:r>
        <w:rPr>
          <w:rFonts w:ascii="宋体" w:hAnsi="宋体"/>
          <w:bCs/>
        </w:rPr>
        <w:t>结构进行</w:t>
      </w:r>
      <w:r>
        <w:rPr>
          <w:rFonts w:hint="eastAsia" w:ascii="宋体" w:hAnsi="宋体"/>
          <w:bCs/>
        </w:rPr>
        <w:t>测量</w:t>
      </w:r>
      <w:r>
        <w:rPr>
          <w:rFonts w:ascii="宋体" w:hAnsi="宋体"/>
          <w:bCs/>
        </w:rPr>
        <w:t>，确保幕墙安装位置的准确性</w:t>
      </w:r>
      <w:r>
        <w:rPr>
          <w:rFonts w:hint="eastAsia" w:ascii="宋体" w:hAnsi="宋体"/>
          <w:bCs/>
        </w:rPr>
        <w:t>；</w:t>
      </w:r>
    </w:p>
    <w:p w14:paraId="3CF04A85">
      <w:pPr>
        <w:numPr>
          <w:ilvl w:val="0"/>
          <w:numId w:val="51"/>
        </w:numPr>
        <w:adjustRightInd/>
        <w:spacing w:before="120" w:beforeLines="50" w:after="120" w:afterLines="50" w:line="240" w:lineRule="auto"/>
        <w:rPr>
          <w:rFonts w:ascii="宋体" w:hAnsi="宋体"/>
          <w:bCs/>
        </w:rPr>
      </w:pPr>
      <w:r>
        <w:rPr>
          <w:rFonts w:hint="eastAsia" w:ascii="宋体" w:hAnsi="宋体"/>
          <w:bCs/>
        </w:rPr>
        <w:t>幕墙</w:t>
      </w:r>
      <w:r>
        <w:rPr>
          <w:rFonts w:ascii="宋体" w:hAnsi="宋体"/>
          <w:bCs/>
        </w:rPr>
        <w:t>安装</w:t>
      </w:r>
      <w:r>
        <w:rPr>
          <w:rFonts w:hint="eastAsia" w:ascii="宋体" w:hAnsi="宋体"/>
          <w:bCs/>
        </w:rPr>
        <w:t>以</w:t>
      </w:r>
      <w:r>
        <w:rPr>
          <w:rFonts w:ascii="宋体" w:hAnsi="宋体"/>
          <w:bCs/>
        </w:rPr>
        <w:t>现状测量为</w:t>
      </w:r>
      <w:r>
        <w:rPr>
          <w:rFonts w:hint="eastAsia" w:ascii="宋体" w:hAnsi="宋体"/>
          <w:bCs/>
        </w:rPr>
        <w:t>基础</w:t>
      </w:r>
      <w:r>
        <w:rPr>
          <w:rFonts w:ascii="宋体" w:hAnsi="宋体"/>
          <w:bCs/>
        </w:rPr>
        <w:t>，</w:t>
      </w:r>
      <w:r>
        <w:rPr>
          <w:rFonts w:hint="eastAsia" w:ascii="宋体" w:hAnsi="宋体"/>
          <w:bCs/>
        </w:rPr>
        <w:t>构件按</w:t>
      </w:r>
      <w:r>
        <w:rPr>
          <w:rFonts w:ascii="宋体" w:hAnsi="宋体"/>
          <w:bCs/>
        </w:rPr>
        <w:t>实际测量尺寸</w:t>
      </w:r>
      <w:r>
        <w:rPr>
          <w:rFonts w:hint="eastAsia" w:ascii="宋体" w:hAnsi="宋体"/>
          <w:bCs/>
        </w:rPr>
        <w:t>进行</w:t>
      </w:r>
      <w:r>
        <w:rPr>
          <w:rFonts w:ascii="宋体" w:hAnsi="宋体"/>
          <w:bCs/>
        </w:rPr>
        <w:t>加工</w:t>
      </w:r>
      <w:r>
        <w:rPr>
          <w:rFonts w:hint="eastAsia" w:ascii="宋体" w:hAnsi="宋体"/>
          <w:bCs/>
        </w:rPr>
        <w:t>；</w:t>
      </w:r>
    </w:p>
    <w:p w14:paraId="5332EB42">
      <w:pPr>
        <w:numPr>
          <w:ilvl w:val="0"/>
          <w:numId w:val="51"/>
        </w:numPr>
        <w:adjustRightInd/>
        <w:spacing w:before="120" w:beforeLines="50" w:after="120" w:afterLines="50" w:line="240" w:lineRule="auto"/>
        <w:rPr>
          <w:rFonts w:ascii="宋体" w:hAnsi="宋体"/>
          <w:bCs/>
          <w:color w:val="000000" w:themeColor="text1"/>
          <w14:textFill>
            <w14:solidFill>
              <w14:schemeClr w14:val="tx1"/>
            </w14:solidFill>
          </w14:textFill>
        </w:rPr>
      </w:pPr>
      <w:r>
        <w:rPr>
          <w:rFonts w:hint="eastAsia" w:ascii="宋体" w:hAnsi="宋体"/>
          <w:bCs/>
        </w:rPr>
        <w:t>当幕</w:t>
      </w:r>
      <w:r>
        <w:rPr>
          <w:rFonts w:hint="eastAsia" w:ascii="宋体" w:hAnsi="宋体"/>
          <w:bCs/>
          <w:color w:val="000000" w:themeColor="text1"/>
          <w14:textFill>
            <w14:solidFill>
              <w14:schemeClr w14:val="tx1"/>
            </w14:solidFill>
          </w14:textFill>
        </w:rPr>
        <w:t>墙随主体结构同步安装时，幕墙安装施工测量应以控制结构轴线与标高为准；</w:t>
      </w:r>
    </w:p>
    <w:p w14:paraId="2656BA10">
      <w:pPr>
        <w:numPr>
          <w:ilvl w:val="0"/>
          <w:numId w:val="51"/>
        </w:numPr>
        <w:adjustRightInd/>
        <w:spacing w:before="120" w:beforeLines="50" w:after="120" w:afterLines="50" w:line="24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幕墙与主体结构连接的预埋件，应符合设计要求，其相邻预埋件水平允许偏差不应超过±3mm，位置允许偏差应小于</w:t>
      </w:r>
      <w:r>
        <w:rPr>
          <w:rFonts w:ascii="宋体" w:hAnsi="宋体"/>
          <w:bCs/>
          <w:color w:val="000000" w:themeColor="text1"/>
          <w14:textFill>
            <w14:solidFill>
              <w14:schemeClr w14:val="tx1"/>
            </w14:solidFill>
          </w14:textFill>
        </w:rPr>
        <w:t>7</w:t>
      </w:r>
      <w:r>
        <w:rPr>
          <w:rFonts w:hint="eastAsia" w:ascii="宋体" w:hAnsi="宋体"/>
          <w:bCs/>
          <w:color w:val="000000" w:themeColor="text1"/>
          <w14:textFill>
            <w14:solidFill>
              <w14:schemeClr w14:val="tx1"/>
            </w14:solidFill>
          </w14:textFill>
        </w:rPr>
        <w:t>mm；</w:t>
      </w:r>
    </w:p>
    <w:p w14:paraId="0D229459">
      <w:pPr>
        <w:numPr>
          <w:ilvl w:val="0"/>
          <w:numId w:val="51"/>
        </w:numPr>
        <w:adjustRightInd/>
        <w:spacing w:before="120" w:beforeLines="50" w:after="120" w:afterLines="50" w:line="24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幕墙分格线的测量应与主体结构测量相配合，其误差应及时调整、分配、消除，避免误差累积；</w:t>
      </w:r>
    </w:p>
    <w:p w14:paraId="40D73FD4">
      <w:pPr>
        <w:numPr>
          <w:ilvl w:val="0"/>
          <w:numId w:val="51"/>
        </w:numPr>
        <w:adjustRightInd/>
        <w:spacing w:before="120" w:beforeLines="50" w:after="120" w:afterLines="50" w:line="240" w:lineRule="auto"/>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幕墙龙骨安装，相邻两根龙骨间距允许误差应小于2mm，同一根龙骨两端水平高差应小于1mm。</w:t>
      </w:r>
    </w:p>
    <w:p w14:paraId="2D6FA88D">
      <w:pPr>
        <w:pStyle w:val="69"/>
        <w:spacing w:before="120" w:after="120"/>
        <w:ind w:left="0"/>
        <w:rPr>
          <w:rFonts w:ascii="宋体" w:hAnsi="宋体" w:eastAsia="宋体"/>
        </w:rPr>
      </w:pPr>
      <w:r>
        <w:rPr>
          <w:rFonts w:hint="eastAsia" w:ascii="宋体" w:hAnsi="宋体" w:eastAsia="宋体"/>
        </w:rPr>
        <w:t>顶部面层施工测量应符合下列规定：</w:t>
      </w:r>
    </w:p>
    <w:p w14:paraId="50060B15">
      <w:pPr>
        <w:numPr>
          <w:ilvl w:val="0"/>
          <w:numId w:val="52"/>
        </w:numPr>
        <w:adjustRightInd/>
        <w:spacing w:before="120" w:beforeLines="50" w:after="120" w:afterLines="50" w:line="240" w:lineRule="auto"/>
        <w:rPr>
          <w:rFonts w:ascii="黑体" w:hAnsi="Ravie"/>
          <w:bCs/>
        </w:rPr>
      </w:pPr>
      <w:r>
        <w:rPr>
          <w:rFonts w:hint="eastAsia" w:ascii="黑体" w:hAnsi="Ravie"/>
          <w:bCs/>
        </w:rPr>
        <w:t>检查各向流水实际坡度，测定实际偏差；</w:t>
      </w:r>
    </w:p>
    <w:p w14:paraId="327E7D54">
      <w:pPr>
        <w:numPr>
          <w:ilvl w:val="0"/>
          <w:numId w:val="52"/>
        </w:numPr>
        <w:adjustRightInd/>
        <w:spacing w:before="120" w:beforeLines="50" w:after="120" w:afterLines="50" w:line="240" w:lineRule="auto"/>
        <w:rPr>
          <w:rFonts w:ascii="黑体" w:hAnsi="Ravie"/>
          <w:bCs/>
        </w:rPr>
      </w:pPr>
      <w:r>
        <w:rPr>
          <w:rFonts w:hint="eastAsia" w:ascii="黑体" w:hAnsi="Ravie"/>
          <w:bCs/>
        </w:rPr>
        <w:t>在表面四周测设水平控制线及各向流水坡度控制线；</w:t>
      </w:r>
    </w:p>
    <w:p w14:paraId="5C052266">
      <w:pPr>
        <w:numPr>
          <w:ilvl w:val="0"/>
          <w:numId w:val="52"/>
        </w:numPr>
        <w:adjustRightInd/>
        <w:spacing w:before="120" w:beforeLines="50" w:after="120" w:afterLines="50" w:line="240" w:lineRule="auto"/>
        <w:rPr>
          <w:rFonts w:ascii="黑体" w:hAnsi="Ravie"/>
          <w:bCs/>
        </w:rPr>
      </w:pPr>
      <w:r>
        <w:rPr>
          <w:rFonts w:hint="eastAsia" w:ascii="黑体" w:hAnsi="Ravie"/>
          <w:bCs/>
        </w:rPr>
        <w:t>卷材防水保护层面应测设“十”字直角控制线。</w:t>
      </w:r>
    </w:p>
    <w:p w14:paraId="74439CD5">
      <w:pPr>
        <w:pStyle w:val="108"/>
        <w:spacing w:before="240" w:after="240"/>
      </w:pPr>
      <w:bookmarkStart w:id="101" w:name="_Toc81571057"/>
      <w:bookmarkStart w:id="102" w:name="_Toc91590499"/>
      <w:bookmarkStart w:id="103" w:name="_Toc203213059"/>
      <w:r>
        <w:rPr>
          <w:rFonts w:hint="eastAsia"/>
        </w:rPr>
        <w:t>结构</w:t>
      </w:r>
      <w:r>
        <w:t>变形</w:t>
      </w:r>
      <w:r>
        <w:rPr>
          <w:rFonts w:hint="eastAsia"/>
        </w:rPr>
        <w:t>及</w:t>
      </w:r>
      <w:bookmarkEnd w:id="101"/>
      <w:r>
        <w:rPr>
          <w:rFonts w:hint="eastAsia"/>
        </w:rPr>
        <w:t>健康</w:t>
      </w:r>
      <w:r>
        <w:t>监测</w:t>
      </w:r>
      <w:bookmarkEnd w:id="102"/>
      <w:bookmarkEnd w:id="103"/>
    </w:p>
    <w:p w14:paraId="47303EC2">
      <w:pPr>
        <w:pStyle w:val="109"/>
        <w:spacing w:before="120" w:after="120"/>
        <w:ind w:left="0"/>
      </w:pPr>
      <w:bookmarkStart w:id="104" w:name="_Toc81571058"/>
      <w:bookmarkStart w:id="105" w:name="_Toc91590500"/>
      <w:bookmarkStart w:id="106" w:name="_Toc203213060"/>
      <w:r>
        <w:rPr>
          <w:rFonts w:hint="eastAsia"/>
        </w:rPr>
        <w:t>一般规定</w:t>
      </w:r>
      <w:bookmarkEnd w:id="104"/>
      <w:bookmarkEnd w:id="105"/>
      <w:bookmarkEnd w:id="106"/>
    </w:p>
    <w:p w14:paraId="74F9C399">
      <w:pPr>
        <w:pStyle w:val="69"/>
        <w:spacing w:before="120" w:after="120"/>
        <w:ind w:left="0"/>
        <w:rPr>
          <w:rFonts w:ascii="宋体" w:hAnsi="宋体" w:eastAsia="宋体"/>
        </w:rPr>
      </w:pPr>
      <w:r>
        <w:rPr>
          <w:rFonts w:hint="eastAsia" w:ascii="宋体" w:hAnsi="宋体" w:eastAsia="宋体"/>
        </w:rPr>
        <w:t>超高层建筑施工过程中，应对主体结构自身的变形和健康情况以及大型施工装备等进行现场监测，并将监测结果及时反馈给相关单位和人员。</w:t>
      </w:r>
    </w:p>
    <w:p w14:paraId="46DB91EC">
      <w:pPr>
        <w:pStyle w:val="69"/>
        <w:spacing w:before="120" w:after="120"/>
        <w:ind w:left="0"/>
        <w:rPr>
          <w:rFonts w:ascii="宋体" w:hAnsi="宋体" w:eastAsia="宋体"/>
        </w:rPr>
      </w:pPr>
      <w:r>
        <w:rPr>
          <w:rFonts w:hint="eastAsia" w:ascii="宋体" w:hAnsi="宋体" w:eastAsia="宋体"/>
        </w:rPr>
        <w:t>监测前应根据监测要求、监测目的，结合工程结构及大型施工装备特点、现场及周边环境条件等因素，制定监测方案。</w:t>
      </w:r>
    </w:p>
    <w:p w14:paraId="5CD04F8F">
      <w:pPr>
        <w:pStyle w:val="69"/>
        <w:spacing w:before="120" w:after="120"/>
        <w:ind w:left="0"/>
        <w:rPr>
          <w:rFonts w:ascii="宋体" w:hAnsi="宋体" w:eastAsia="宋体"/>
        </w:rPr>
      </w:pPr>
      <w:r>
        <w:rPr>
          <w:rFonts w:hint="eastAsia" w:ascii="宋体" w:hAnsi="宋体" w:eastAsia="宋体"/>
        </w:rPr>
        <w:t>监测仪器及元件应满足测量精度和各类监测工作的要求，并能反映监测对象的实际状况。</w:t>
      </w:r>
    </w:p>
    <w:p w14:paraId="266C9039">
      <w:pPr>
        <w:pStyle w:val="69"/>
        <w:spacing w:before="120" w:after="120"/>
        <w:ind w:left="0"/>
        <w:rPr>
          <w:rFonts w:ascii="宋体" w:hAnsi="宋体" w:eastAsia="宋体"/>
        </w:rPr>
      </w:pPr>
      <w:r>
        <w:rPr>
          <w:rFonts w:hint="eastAsia" w:ascii="宋体" w:hAnsi="宋体" w:eastAsia="宋体"/>
        </w:rPr>
        <w:t>超高层建筑的摆幅、倾角、扭矩等指标宜进行动态监测。同时宜满足如下要求：</w:t>
      </w:r>
    </w:p>
    <w:p w14:paraId="0F759B44">
      <w:pPr>
        <w:numPr>
          <w:ilvl w:val="0"/>
          <w:numId w:val="53"/>
        </w:numPr>
        <w:adjustRightInd/>
        <w:spacing w:before="120" w:beforeLines="50" w:after="120" w:afterLines="50" w:line="240" w:lineRule="auto"/>
        <w:rPr>
          <w:rFonts w:ascii="黑体" w:hAnsi="Ravie"/>
          <w:bCs/>
        </w:rPr>
      </w:pPr>
      <w:r>
        <w:rPr>
          <w:rFonts w:hint="eastAsia" w:ascii="黑体" w:hAnsi="Ravie"/>
          <w:bCs/>
        </w:rPr>
        <w:t>应力、应变监测周期宜与变形监测周期同步；</w:t>
      </w:r>
    </w:p>
    <w:p w14:paraId="1AEBD4B1">
      <w:pPr>
        <w:numPr>
          <w:ilvl w:val="0"/>
          <w:numId w:val="53"/>
        </w:numPr>
        <w:adjustRightInd/>
        <w:spacing w:before="120" w:beforeLines="50" w:after="120" w:afterLines="50" w:line="240" w:lineRule="auto"/>
        <w:rPr>
          <w:rFonts w:ascii="黑体" w:hAnsi="Ravie"/>
          <w:bCs/>
        </w:rPr>
      </w:pPr>
      <w:r>
        <w:rPr>
          <w:rFonts w:hint="eastAsia" w:ascii="黑体" w:hAnsi="Ravie"/>
          <w:bCs/>
        </w:rPr>
        <w:t>结构变形和结构内力监测时，应记录施工节点，并监测温度、风力等环境参数。</w:t>
      </w:r>
    </w:p>
    <w:p w14:paraId="798CB658">
      <w:pPr>
        <w:pStyle w:val="69"/>
        <w:spacing w:before="120" w:after="120"/>
        <w:ind w:left="0"/>
        <w:rPr>
          <w:rFonts w:ascii="宋体" w:hAnsi="宋体" w:eastAsia="宋体"/>
        </w:rPr>
      </w:pPr>
      <w:r>
        <w:rPr>
          <w:rFonts w:hint="eastAsia" w:ascii="宋体" w:hAnsi="宋体" w:eastAsia="宋体"/>
        </w:rPr>
        <w:t>结构变形监测的等级划分及精度要求应符合表2</w:t>
      </w:r>
      <w:r>
        <w:rPr>
          <w:rFonts w:ascii="宋体" w:hAnsi="宋体" w:eastAsia="宋体"/>
        </w:rPr>
        <w:t>4</w:t>
      </w:r>
      <w:r>
        <w:rPr>
          <w:rFonts w:hint="eastAsia" w:ascii="宋体" w:hAnsi="宋体" w:eastAsia="宋体"/>
        </w:rPr>
        <w:t>的规定。</w:t>
      </w:r>
    </w:p>
    <w:p w14:paraId="78C029F8">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表2</w:t>
      </w:r>
      <w:r>
        <w:rPr>
          <w:rFonts w:ascii="黑体" w:hAnsi="黑体" w:eastAsia="黑体"/>
          <w:bCs/>
          <w:color w:val="000000" w:themeColor="text1"/>
          <w14:textFill>
            <w14:solidFill>
              <w14:schemeClr w14:val="tx1"/>
            </w14:solidFill>
          </w14:textFill>
        </w:rPr>
        <w:t>4</w:t>
      </w:r>
      <w:r>
        <w:rPr>
          <w:rFonts w:hint="eastAsia" w:ascii="黑体" w:hAnsi="黑体" w:eastAsia="黑体"/>
          <w:bCs/>
          <w:color w:val="000000" w:themeColor="text1"/>
          <w14:textFill>
            <w14:solidFill>
              <w14:schemeClr w14:val="tx1"/>
            </w14:solidFill>
          </w14:textFill>
        </w:rPr>
        <w:t xml:space="preserve"> 变形监测的等级划分及精度要求</w:t>
      </w:r>
    </w:p>
    <w:tbl>
      <w:tblPr>
        <w:tblStyle w:val="29"/>
        <w:tblW w:w="4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453"/>
        <w:gridCol w:w="1571"/>
        <w:gridCol w:w="1439"/>
        <w:gridCol w:w="2427"/>
      </w:tblGrid>
      <w:tr w14:paraId="2E02D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vMerge w:val="restart"/>
            <w:shd w:val="clear" w:color="auto" w:fill="auto"/>
            <w:vAlign w:val="center"/>
          </w:tcPr>
          <w:p w14:paraId="5E244324">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等级</w:t>
            </w:r>
          </w:p>
        </w:tc>
        <w:tc>
          <w:tcPr>
            <w:tcW w:w="1975" w:type="pct"/>
            <w:gridSpan w:val="2"/>
            <w:shd w:val="clear" w:color="auto" w:fill="auto"/>
            <w:vAlign w:val="center"/>
          </w:tcPr>
          <w:p w14:paraId="647A2AC9">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垂直位移监测</w:t>
            </w:r>
          </w:p>
        </w:tc>
        <w:tc>
          <w:tcPr>
            <w:tcW w:w="940" w:type="pct"/>
            <w:shd w:val="clear" w:color="auto" w:fill="auto"/>
            <w:vAlign w:val="center"/>
          </w:tcPr>
          <w:p w14:paraId="7B57FC2B">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水平位移监测</w:t>
            </w:r>
          </w:p>
        </w:tc>
        <w:tc>
          <w:tcPr>
            <w:tcW w:w="1585" w:type="pct"/>
            <w:vMerge w:val="restart"/>
            <w:shd w:val="clear" w:color="auto" w:fill="auto"/>
            <w:vAlign w:val="center"/>
          </w:tcPr>
          <w:p w14:paraId="4F0637A1">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适用范围</w:t>
            </w:r>
          </w:p>
        </w:tc>
      </w:tr>
      <w:tr w14:paraId="3AA65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vMerge w:val="continue"/>
            <w:shd w:val="clear" w:color="auto" w:fill="auto"/>
            <w:vAlign w:val="center"/>
          </w:tcPr>
          <w:p w14:paraId="12A0ECF7">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p>
        </w:tc>
        <w:tc>
          <w:tcPr>
            <w:tcW w:w="949" w:type="pct"/>
            <w:shd w:val="clear" w:color="auto" w:fill="auto"/>
            <w:vAlign w:val="center"/>
          </w:tcPr>
          <w:p w14:paraId="2B7451CC">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变形观测点的高程中误差/mm</w:t>
            </w:r>
          </w:p>
        </w:tc>
        <w:tc>
          <w:tcPr>
            <w:tcW w:w="1026" w:type="pct"/>
            <w:shd w:val="clear" w:color="auto" w:fill="auto"/>
            <w:vAlign w:val="center"/>
          </w:tcPr>
          <w:p w14:paraId="6C4014E9">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相邻变形观测点的高差中误差/mm</w:t>
            </w:r>
          </w:p>
        </w:tc>
        <w:tc>
          <w:tcPr>
            <w:tcW w:w="940" w:type="pct"/>
            <w:shd w:val="clear" w:color="auto" w:fill="auto"/>
            <w:vAlign w:val="center"/>
          </w:tcPr>
          <w:p w14:paraId="577C6B74">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变形观测点的点位中误差/mm</w:t>
            </w:r>
          </w:p>
        </w:tc>
        <w:tc>
          <w:tcPr>
            <w:tcW w:w="1585" w:type="pct"/>
            <w:vMerge w:val="continue"/>
            <w:shd w:val="clear" w:color="auto" w:fill="auto"/>
            <w:vAlign w:val="center"/>
          </w:tcPr>
          <w:p w14:paraId="0C9087E9">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p>
        </w:tc>
      </w:tr>
      <w:tr w14:paraId="65F25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shd w:val="clear" w:color="auto" w:fill="auto"/>
            <w:vAlign w:val="center"/>
          </w:tcPr>
          <w:p w14:paraId="4AAA16A5">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一等</w:t>
            </w:r>
          </w:p>
        </w:tc>
        <w:tc>
          <w:tcPr>
            <w:tcW w:w="949" w:type="pct"/>
            <w:shd w:val="clear" w:color="auto" w:fill="auto"/>
            <w:vAlign w:val="center"/>
          </w:tcPr>
          <w:p w14:paraId="79F0287B">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0.3</w:t>
            </w:r>
          </w:p>
        </w:tc>
        <w:tc>
          <w:tcPr>
            <w:tcW w:w="1026" w:type="pct"/>
            <w:shd w:val="clear" w:color="auto" w:fill="auto"/>
            <w:vAlign w:val="center"/>
          </w:tcPr>
          <w:p w14:paraId="6F2D04E7">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0.1</w:t>
            </w:r>
          </w:p>
        </w:tc>
        <w:tc>
          <w:tcPr>
            <w:tcW w:w="940" w:type="pct"/>
            <w:shd w:val="clear" w:color="auto" w:fill="auto"/>
            <w:vAlign w:val="center"/>
          </w:tcPr>
          <w:p w14:paraId="71549EF0">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1.5</w:t>
            </w:r>
          </w:p>
        </w:tc>
        <w:tc>
          <w:tcPr>
            <w:tcW w:w="1585" w:type="pct"/>
            <w:shd w:val="clear" w:color="auto" w:fill="auto"/>
            <w:vAlign w:val="center"/>
          </w:tcPr>
          <w:p w14:paraId="261D5ED5">
            <w:pPr>
              <w:spacing w:line="240" w:lineRule="auto"/>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300m及以上的超高层建筑</w:t>
            </w:r>
          </w:p>
        </w:tc>
      </w:tr>
      <w:tr w14:paraId="2FF7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shd w:val="clear" w:color="auto" w:fill="auto"/>
            <w:vAlign w:val="center"/>
          </w:tcPr>
          <w:p w14:paraId="63738A18">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二等</w:t>
            </w:r>
          </w:p>
        </w:tc>
        <w:tc>
          <w:tcPr>
            <w:tcW w:w="949" w:type="pct"/>
            <w:shd w:val="clear" w:color="auto" w:fill="auto"/>
            <w:vAlign w:val="center"/>
          </w:tcPr>
          <w:p w14:paraId="0E15D08B">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0.5</w:t>
            </w:r>
          </w:p>
        </w:tc>
        <w:tc>
          <w:tcPr>
            <w:tcW w:w="1026" w:type="pct"/>
            <w:shd w:val="clear" w:color="auto" w:fill="auto"/>
            <w:vAlign w:val="center"/>
          </w:tcPr>
          <w:p w14:paraId="6BFDFAC9">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0.3</w:t>
            </w:r>
          </w:p>
        </w:tc>
        <w:tc>
          <w:tcPr>
            <w:tcW w:w="940" w:type="pct"/>
            <w:shd w:val="clear" w:color="auto" w:fill="auto"/>
            <w:vAlign w:val="center"/>
          </w:tcPr>
          <w:p w14:paraId="4D094EF9">
            <w:pPr>
              <w:spacing w:line="240" w:lineRule="auto"/>
              <w:jc w:val="center"/>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sz w:val="18"/>
                <w:szCs w:val="18"/>
              </w:rPr>
              <w:t>3.0</w:t>
            </w:r>
          </w:p>
        </w:tc>
        <w:tc>
          <w:tcPr>
            <w:tcW w:w="1585" w:type="pct"/>
            <w:shd w:val="clear" w:color="auto" w:fill="auto"/>
            <w:vAlign w:val="center"/>
          </w:tcPr>
          <w:p w14:paraId="1E9FEE4F">
            <w:pPr>
              <w:spacing w:line="240" w:lineRule="auto"/>
              <w:rPr>
                <w:rFonts w:hint="eastAsia" w:ascii="宋体" w:hAnsi="宋体" w:eastAsia="宋体" w:cs="宋体"/>
                <w:bCs/>
                <w:color w:val="000000" w:themeColor="text1"/>
                <w:sz w:val="18"/>
                <w:szCs w:val="18"/>
                <w14:textFill>
                  <w14:solidFill>
                    <w14:schemeClr w14:val="tx1"/>
                  </w14:solidFill>
                </w14:textFill>
              </w:rPr>
            </w:pPr>
            <w:r>
              <w:rPr>
                <w:rFonts w:hint="eastAsia" w:ascii="宋体" w:hAnsi="宋体" w:eastAsia="宋体" w:cs="宋体"/>
                <w:bCs/>
                <w:color w:val="000000" w:themeColor="text1"/>
                <w:sz w:val="18"/>
                <w:szCs w:val="18"/>
                <w14:textFill>
                  <w14:solidFill>
                    <w14:schemeClr w14:val="tx1"/>
                  </w14:solidFill>
                </w14:textFill>
              </w:rPr>
              <w:t>300m以下的建筑</w:t>
            </w:r>
          </w:p>
        </w:tc>
      </w:tr>
      <w:tr w14:paraId="7C8FE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shd w:val="clear" w:color="auto" w:fill="auto"/>
            <w:vAlign w:val="center"/>
          </w:tcPr>
          <w:p w14:paraId="1FCA3C73">
            <w:pPr>
              <w:pStyle w:val="234"/>
              <w:ind w:firstLine="0" w:firstLineChars="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 1.变形观测点的高程中误差和点位中误差，是指相对于邻近基准点的中误差；</w:t>
            </w:r>
          </w:p>
          <w:p w14:paraId="50E4EA0F">
            <w:pPr>
              <w:pStyle w:val="234"/>
              <w:ind w:left="420" w:leftChars="200" w:firstLine="0" w:firstLineChars="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2.特定方向的位移中误差可取表中相应等级点位中误差的</w:t>
            </w:r>
            <m:oMath>
              <m:r>
                <m:rPr>
                  <m:sty m:val="p"/>
                </m:rPr>
                <w:rPr>
                  <w:rFonts w:hint="eastAsia" w:ascii="Cambria Math" w:hAnsi="Cambria Math" w:eastAsia="宋体" w:cs="宋体"/>
                  <w:color w:val="000000" w:themeColor="text1"/>
                  <w:sz w:val="18"/>
                  <w:szCs w:val="18"/>
                  <w14:textFill>
                    <w14:solidFill>
                      <w14:schemeClr w14:val="tx1"/>
                    </w14:solidFill>
                  </w14:textFill>
                </w:rPr>
                <m:t>1/</m:t>
              </m:r>
              <m:rad>
                <m:radPr>
                  <m:degHide m:val="1"/>
                  <m:ctrlPr>
                    <w:rPr>
                      <w:rFonts w:hint="eastAsia" w:ascii="Cambria Math" w:hAnsi="Cambria Math" w:eastAsia="宋体" w:cs="宋体"/>
                      <w:color w:val="000000" w:themeColor="text1"/>
                      <w:sz w:val="18"/>
                      <w:szCs w:val="18"/>
                      <w14:textFill>
                        <w14:solidFill>
                          <w14:schemeClr w14:val="tx1"/>
                        </w14:solidFill>
                      </w14:textFill>
                    </w:rPr>
                  </m:ctrlPr>
                </m:radPr>
                <m:deg>
                  <m:ctrlPr>
                    <w:rPr>
                      <w:rFonts w:hint="eastAsia" w:ascii="Cambria Math" w:hAnsi="Cambria Math" w:eastAsia="宋体" w:cs="宋体"/>
                      <w:color w:val="000000" w:themeColor="text1"/>
                      <w:sz w:val="18"/>
                      <w:szCs w:val="18"/>
                      <w14:textFill>
                        <w14:solidFill>
                          <w14:schemeClr w14:val="tx1"/>
                        </w14:solidFill>
                      </w14:textFill>
                    </w:rPr>
                  </m:ctrlPr>
                </m:deg>
                <m:e>
                  <m:r>
                    <m:rPr>
                      <m:sty m:val="p"/>
                    </m:rPr>
                    <w:rPr>
                      <w:rFonts w:hint="eastAsia" w:ascii="Cambria Math" w:hAnsi="Cambria Math" w:eastAsia="宋体" w:cs="宋体"/>
                      <w:color w:val="000000" w:themeColor="text1"/>
                      <w:sz w:val="18"/>
                      <w:szCs w:val="18"/>
                      <w14:textFill>
                        <w14:solidFill>
                          <w14:schemeClr w14:val="tx1"/>
                        </w14:solidFill>
                      </w14:textFill>
                    </w:rPr>
                    <m:t>2</m:t>
                  </m:r>
                  <m:ctrlPr>
                    <w:rPr>
                      <w:rFonts w:hint="eastAsia" w:ascii="Cambria Math" w:hAnsi="Cambria Math" w:eastAsia="宋体" w:cs="宋体"/>
                      <w:color w:val="000000" w:themeColor="text1"/>
                      <w:sz w:val="18"/>
                      <w:szCs w:val="18"/>
                      <w14:textFill>
                        <w14:solidFill>
                          <w14:schemeClr w14:val="tx1"/>
                        </w14:solidFill>
                      </w14:textFill>
                    </w:rPr>
                  </m:ctrlPr>
                </m:e>
              </m:rad>
            </m:oMath>
            <w:r>
              <w:rPr>
                <w:rFonts w:hint="eastAsia" w:ascii="宋体" w:hAnsi="宋体" w:eastAsia="宋体" w:cs="宋体"/>
                <w:color w:val="000000" w:themeColor="text1"/>
                <w:sz w:val="18"/>
                <w:szCs w:val="18"/>
                <w14:textFill>
                  <w14:solidFill>
                    <w14:schemeClr w14:val="tx1"/>
                  </w14:solidFill>
                </w14:textFill>
              </w:rPr>
              <w:t>作为限值；</w:t>
            </w:r>
          </w:p>
          <w:p w14:paraId="0BA6ED5E">
            <w:pPr>
              <w:pStyle w:val="234"/>
              <w:ind w:left="420" w:leftChars="200" w:firstLine="0" w:firstLineChars="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3.垂直位移监测可根据需要按变形观测点的高程中误差或相邻变形观测点的高差中误差，确定监测精度等级。</w:t>
            </w:r>
          </w:p>
        </w:tc>
      </w:tr>
    </w:tbl>
    <w:p w14:paraId="36208A05">
      <w:pPr>
        <w:pStyle w:val="69"/>
        <w:spacing w:before="120" w:after="120"/>
        <w:ind w:left="0"/>
        <w:rPr>
          <w:rFonts w:ascii="宋体" w:hAnsi="宋体" w:eastAsia="宋体"/>
        </w:rPr>
      </w:pPr>
      <w:r>
        <w:rPr>
          <w:rFonts w:hint="eastAsia" w:ascii="宋体" w:hAnsi="宋体" w:eastAsia="宋体"/>
        </w:rPr>
        <w:t>结构变形及结构健康监测应确定监测预警值，监测预警值应由工程设计方依据设计控制要求确定。</w:t>
      </w:r>
    </w:p>
    <w:p w14:paraId="78281548">
      <w:pPr>
        <w:pStyle w:val="69"/>
        <w:spacing w:before="120" w:after="120"/>
        <w:ind w:left="0"/>
        <w:rPr>
          <w:rFonts w:ascii="宋体" w:hAnsi="宋体" w:eastAsia="宋体"/>
        </w:rPr>
      </w:pPr>
      <w:r>
        <w:rPr>
          <w:rFonts w:hint="eastAsia" w:ascii="宋体" w:hAnsi="宋体" w:eastAsia="宋体"/>
        </w:rPr>
        <w:t>变形及健康监测应建立监测基准网，竖向位移监测基准点不应少于3个，水平位移监测基准点不应少于4个，基准网的布设、施测与稳定性检核应符合《建筑变形测量规范》JGJ 8的相关规定。</w:t>
      </w:r>
    </w:p>
    <w:p w14:paraId="3CE0619B">
      <w:pPr>
        <w:pStyle w:val="109"/>
        <w:spacing w:before="120" w:after="120"/>
        <w:ind w:left="0"/>
      </w:pPr>
      <w:bookmarkStart w:id="107" w:name="_Toc203213061"/>
      <w:r>
        <w:rPr>
          <w:rFonts w:hint="eastAsia"/>
        </w:rPr>
        <w:t>结构变形监测</w:t>
      </w:r>
      <w:bookmarkEnd w:id="107"/>
    </w:p>
    <w:p w14:paraId="61CC65CF">
      <w:pPr>
        <w:pStyle w:val="69"/>
        <w:spacing w:before="120" w:after="120"/>
        <w:ind w:left="0"/>
        <w:rPr>
          <w:rFonts w:ascii="宋体" w:hAnsi="宋体" w:eastAsia="宋体"/>
        </w:rPr>
      </w:pPr>
      <w:r>
        <w:rPr>
          <w:rFonts w:hint="eastAsia" w:ascii="宋体" w:hAnsi="宋体" w:eastAsia="宋体"/>
        </w:rPr>
        <w:t>主体结构变形监测包括水平位移监测、垂直位移监测、三维位移监测、主体结构倾斜监测、挠度观测、监测体裂缝观测、日照变形监测与应力应变监测。</w:t>
      </w:r>
    </w:p>
    <w:p w14:paraId="7711E976">
      <w:pPr>
        <w:pStyle w:val="69"/>
        <w:spacing w:before="120" w:after="120"/>
        <w:ind w:left="0"/>
        <w:rPr>
          <w:rFonts w:ascii="宋体" w:hAnsi="宋体" w:eastAsia="宋体"/>
        </w:rPr>
      </w:pPr>
      <w:r>
        <w:rPr>
          <w:rFonts w:hint="eastAsia" w:ascii="宋体" w:hAnsi="宋体" w:eastAsia="宋体"/>
        </w:rPr>
        <w:t>主体结构变形监测应建立专项安全监测系统，系统宜具备准动态特征监测或实时动态特征监测功能，以及监测预警功能。</w:t>
      </w:r>
    </w:p>
    <w:p w14:paraId="67F1048B">
      <w:pPr>
        <w:pStyle w:val="69"/>
        <w:spacing w:before="120" w:after="120"/>
        <w:ind w:left="0"/>
        <w:rPr>
          <w:rFonts w:ascii="宋体" w:hAnsi="宋体" w:eastAsia="宋体"/>
        </w:rPr>
      </w:pPr>
      <w:r>
        <w:rPr>
          <w:rFonts w:hint="eastAsia" w:ascii="宋体" w:hAnsi="宋体" w:eastAsia="宋体"/>
        </w:rPr>
        <w:t>变形监测方法应根据建筑结构形式、监测项目特点、精度要求、变形速率及监测对象的安全性按表25选用，也可以同时采用多种方法联合监测。</w:t>
      </w:r>
    </w:p>
    <w:p w14:paraId="08F70EA8">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w:t>
      </w:r>
      <w:r>
        <w:rPr>
          <w:rFonts w:ascii="黑体" w:hAnsi="黑体" w:eastAsia="黑体"/>
          <w:bCs/>
          <w:color w:val="000000" w:themeColor="text1"/>
          <w14:textFill>
            <w14:solidFill>
              <w14:schemeClr w14:val="tx1"/>
            </w14:solidFill>
          </w14:textFill>
        </w:rPr>
        <w:t>25</w:t>
      </w:r>
      <w:r>
        <w:rPr>
          <w:rFonts w:hint="eastAsia" w:ascii="黑体" w:hAnsi="黑体" w:eastAsia="黑体"/>
          <w:bCs/>
          <w:color w:val="000000" w:themeColor="text1"/>
          <w14:textFill>
            <w14:solidFill>
              <w14:schemeClr w14:val="tx1"/>
            </w14:solidFill>
          </w14:textFill>
        </w:rPr>
        <w:t xml:space="preserve"> 监测方法的选择</w:t>
      </w:r>
    </w:p>
    <w:tbl>
      <w:tblPr>
        <w:tblStyle w:val="29"/>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7"/>
        <w:gridCol w:w="6876"/>
      </w:tblGrid>
      <w:tr w14:paraId="731DE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2714DEFB">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类别</w:t>
            </w:r>
          </w:p>
        </w:tc>
        <w:tc>
          <w:tcPr>
            <w:tcW w:w="6714" w:type="dxa"/>
            <w:shd w:val="clear" w:color="auto" w:fill="auto"/>
            <w:vAlign w:val="center"/>
          </w:tcPr>
          <w:p w14:paraId="282B2FB1">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监测方法</w:t>
            </w:r>
          </w:p>
        </w:tc>
      </w:tr>
      <w:tr w14:paraId="21797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5EC4A023">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水平位移监测</w:t>
            </w:r>
          </w:p>
        </w:tc>
        <w:tc>
          <w:tcPr>
            <w:tcW w:w="6714" w:type="dxa"/>
            <w:shd w:val="clear" w:color="auto" w:fill="auto"/>
            <w:vAlign w:val="center"/>
          </w:tcPr>
          <w:p w14:paraId="405BD5F8">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三角形网法、交会法、自由设站法、卫星定位测量法、地基雷达干涉测量法、正倒垂线法、视准线法、激光准直法、精密测（距）量法、伸缩仪法、多点位移计法、倾斜仪法等</w:t>
            </w:r>
          </w:p>
        </w:tc>
      </w:tr>
      <w:tr w14:paraId="0722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5860CB2E">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垂直位移监测</w:t>
            </w:r>
          </w:p>
        </w:tc>
        <w:tc>
          <w:tcPr>
            <w:tcW w:w="6714" w:type="dxa"/>
            <w:shd w:val="clear" w:color="auto" w:fill="auto"/>
            <w:vAlign w:val="center"/>
          </w:tcPr>
          <w:p w14:paraId="2DCCAD2F">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水准测量法、液体静力水准测量法、地基雷达干涉测量法等</w:t>
            </w:r>
          </w:p>
        </w:tc>
      </w:tr>
      <w:tr w14:paraId="17944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5ADC0470">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三维位移监测</w:t>
            </w:r>
          </w:p>
        </w:tc>
        <w:tc>
          <w:tcPr>
            <w:tcW w:w="6714" w:type="dxa"/>
            <w:shd w:val="clear" w:color="auto" w:fill="auto"/>
            <w:vAlign w:val="center"/>
          </w:tcPr>
          <w:p w14:paraId="252108B1">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全站仪自动跟踪测量法、卫星定位实时动态测量法等</w:t>
            </w:r>
          </w:p>
        </w:tc>
      </w:tr>
      <w:tr w14:paraId="366C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2DF5B38B">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主体倾斜监测</w:t>
            </w:r>
          </w:p>
        </w:tc>
        <w:tc>
          <w:tcPr>
            <w:tcW w:w="6714" w:type="dxa"/>
            <w:shd w:val="clear" w:color="auto" w:fill="auto"/>
            <w:vAlign w:val="center"/>
          </w:tcPr>
          <w:p w14:paraId="4EE9DA3A">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差异沉降法、激光准直法、垂线法、倾斜仪法等</w:t>
            </w:r>
          </w:p>
        </w:tc>
      </w:tr>
      <w:tr w14:paraId="057DD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0E2C132B">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扰度观测</w:t>
            </w:r>
          </w:p>
        </w:tc>
        <w:tc>
          <w:tcPr>
            <w:tcW w:w="6714" w:type="dxa"/>
            <w:shd w:val="clear" w:color="auto" w:fill="auto"/>
            <w:vAlign w:val="center"/>
          </w:tcPr>
          <w:p w14:paraId="03780AAF">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垂线法、差异沉降法、位移计法、扰度计法等</w:t>
            </w:r>
          </w:p>
        </w:tc>
      </w:tr>
      <w:tr w14:paraId="40BFE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4625AE3B">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监测体裂缝</w:t>
            </w:r>
          </w:p>
        </w:tc>
        <w:tc>
          <w:tcPr>
            <w:tcW w:w="6714" w:type="dxa"/>
            <w:shd w:val="clear" w:color="auto" w:fill="auto"/>
            <w:vAlign w:val="center"/>
          </w:tcPr>
          <w:p w14:paraId="42C10EC7">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精密测（距）量、伸缩仪法、测缝计法、位移计法、光栅光纤传感器法、摄影测量法等</w:t>
            </w:r>
          </w:p>
        </w:tc>
      </w:tr>
      <w:tr w14:paraId="4E45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11010C07">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日照变形监测</w:t>
            </w:r>
          </w:p>
        </w:tc>
        <w:tc>
          <w:tcPr>
            <w:tcW w:w="6714" w:type="dxa"/>
            <w:shd w:val="clear" w:color="auto" w:fill="auto"/>
            <w:vAlign w:val="center"/>
          </w:tcPr>
          <w:p w14:paraId="704EE0AC">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激光垂准仪法、正垂仪法</w:t>
            </w:r>
          </w:p>
        </w:tc>
      </w:tr>
      <w:tr w14:paraId="22331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6" w:type="dxa"/>
            <w:shd w:val="clear" w:color="auto" w:fill="auto"/>
            <w:vAlign w:val="center"/>
          </w:tcPr>
          <w:p w14:paraId="3B5378AB">
            <w:pPr>
              <w:spacing w:line="240" w:lineRule="auto"/>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应力、应变监测</w:t>
            </w:r>
          </w:p>
        </w:tc>
        <w:tc>
          <w:tcPr>
            <w:tcW w:w="6714" w:type="dxa"/>
            <w:shd w:val="clear" w:color="auto" w:fill="auto"/>
            <w:vAlign w:val="center"/>
          </w:tcPr>
          <w:p w14:paraId="6F6AC37F">
            <w:pPr>
              <w:spacing w:line="240" w:lineRule="auto"/>
              <w:jc w:val="left"/>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应力计法、应变计法</w:t>
            </w:r>
          </w:p>
        </w:tc>
      </w:tr>
    </w:tbl>
    <w:p w14:paraId="3425A249">
      <w:pPr>
        <w:pStyle w:val="69"/>
        <w:spacing w:before="120" w:after="120"/>
        <w:ind w:left="0"/>
        <w:rPr>
          <w:rFonts w:ascii="宋体" w:hAnsi="宋体" w:eastAsia="宋体"/>
        </w:rPr>
      </w:pPr>
      <w:bookmarkStart w:id="108" w:name="_Toc81571061"/>
      <w:r>
        <w:rPr>
          <w:rFonts w:hint="eastAsia" w:ascii="宋体" w:hAnsi="宋体" w:eastAsia="宋体"/>
        </w:rPr>
        <w:t>变形监测点布设应能反映结构整体变形特征，覆盖关键部位，如核心筒、外框架、转换层、基础等。</w:t>
      </w:r>
    </w:p>
    <w:p w14:paraId="17826415">
      <w:pPr>
        <w:pStyle w:val="69"/>
        <w:spacing w:before="120" w:after="120"/>
        <w:ind w:left="0"/>
        <w:rPr>
          <w:rFonts w:ascii="宋体" w:hAnsi="宋体" w:eastAsia="宋体"/>
        </w:rPr>
      </w:pPr>
      <w:r>
        <w:rPr>
          <w:rFonts w:hint="eastAsia" w:ascii="宋体" w:hAnsi="宋体" w:eastAsia="宋体"/>
        </w:rPr>
        <w:t>结构变形监测频次应符合下列要求：</w:t>
      </w:r>
    </w:p>
    <w:p w14:paraId="0946400F">
      <w:pPr>
        <w:numPr>
          <w:ilvl w:val="0"/>
          <w:numId w:val="54"/>
        </w:numPr>
        <w:adjustRightInd/>
        <w:spacing w:before="120" w:beforeLines="50" w:after="120" w:afterLines="50" w:line="240" w:lineRule="auto"/>
        <w:rPr>
          <w:rFonts w:ascii="黑体" w:hAnsi="Ravie"/>
          <w:bCs/>
        </w:rPr>
      </w:pPr>
      <w:r>
        <w:rPr>
          <w:rFonts w:hint="eastAsia" w:ascii="黑体" w:hAnsi="Ravie"/>
          <w:bCs/>
        </w:rPr>
        <w:t>结构监测宜从基础垫层或基础底板浇筑完成后开始；</w:t>
      </w:r>
    </w:p>
    <w:p w14:paraId="129DE0E8">
      <w:pPr>
        <w:numPr>
          <w:ilvl w:val="0"/>
          <w:numId w:val="54"/>
        </w:numPr>
        <w:adjustRightInd/>
        <w:spacing w:before="120" w:beforeLines="50" w:after="120" w:afterLines="50" w:line="240" w:lineRule="auto"/>
        <w:rPr>
          <w:rFonts w:hint="eastAsia" w:ascii="宋体" w:hAnsi="宋体" w:eastAsia="宋体" w:cs="宋体"/>
          <w:bCs/>
        </w:rPr>
      </w:pPr>
      <w:r>
        <w:rPr>
          <w:rFonts w:hint="eastAsia" w:ascii="黑体" w:hAnsi="Ravie"/>
          <w:bCs/>
        </w:rPr>
        <w:t>主体结构每</w:t>
      </w:r>
      <w:r>
        <w:rPr>
          <w:rFonts w:hint="eastAsia" w:ascii="宋体" w:hAnsi="宋体" w:eastAsia="宋体" w:cs="宋体"/>
          <w:bCs/>
        </w:rPr>
        <w:t>增高2～3层监测1次，主体封顶后每月至少监测1次；</w:t>
      </w:r>
    </w:p>
    <w:p w14:paraId="7604B18E">
      <w:pPr>
        <w:numPr>
          <w:ilvl w:val="0"/>
          <w:numId w:val="54"/>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每一个阶段施工过程应至少监测1次；</w:t>
      </w:r>
    </w:p>
    <w:p w14:paraId="4842208B">
      <w:pPr>
        <w:numPr>
          <w:ilvl w:val="0"/>
          <w:numId w:val="54"/>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当遇暂时停工情况，停工时及复工时应分别监测1次，停工期间可根据具体情况监测；</w:t>
      </w:r>
    </w:p>
    <w:p w14:paraId="36E0036B">
      <w:pPr>
        <w:numPr>
          <w:ilvl w:val="0"/>
          <w:numId w:val="54"/>
        </w:numPr>
        <w:adjustRightInd/>
        <w:spacing w:before="120" w:beforeLines="50" w:after="120" w:afterLines="50" w:line="240" w:lineRule="auto"/>
        <w:rPr>
          <w:rFonts w:ascii="黑体" w:hAnsi="Ravie"/>
          <w:bCs/>
        </w:rPr>
      </w:pPr>
      <w:r>
        <w:rPr>
          <w:rFonts w:hint="eastAsia" w:ascii="黑体" w:hAnsi="Ravie"/>
          <w:bCs/>
        </w:rPr>
        <w:t>监测过程中，监测数据达到或超过预警值，以及结构出现可能发展的裂缝亦或受到地震、洪水、台风、爆破等异常影响时，应提高监测频次。</w:t>
      </w:r>
    </w:p>
    <w:p w14:paraId="57B5CA00">
      <w:pPr>
        <w:pStyle w:val="69"/>
        <w:spacing w:before="120" w:after="120"/>
        <w:ind w:left="0"/>
        <w:rPr>
          <w:rFonts w:ascii="宋体" w:hAnsi="宋体" w:eastAsia="宋体"/>
        </w:rPr>
      </w:pPr>
      <w:r>
        <w:rPr>
          <w:rFonts w:hint="eastAsia" w:ascii="宋体" w:hAnsi="宋体" w:eastAsia="宋体"/>
        </w:rPr>
        <w:t>结构变形监测的其他要求按《建筑变形测量规范》JGJ 8的相关规定执行。</w:t>
      </w:r>
    </w:p>
    <w:p w14:paraId="76C67374">
      <w:pPr>
        <w:pStyle w:val="109"/>
        <w:spacing w:before="120" w:after="120"/>
        <w:ind w:left="0"/>
      </w:pPr>
      <w:bookmarkStart w:id="109" w:name="_Toc203213062"/>
      <w:bookmarkStart w:id="110" w:name="_Toc91590503"/>
      <w:r>
        <w:rPr>
          <w:rFonts w:hint="eastAsia"/>
        </w:rPr>
        <w:t>健康</w:t>
      </w:r>
      <w:r>
        <w:t>监测</w:t>
      </w:r>
      <w:bookmarkEnd w:id="108"/>
      <w:bookmarkEnd w:id="109"/>
      <w:bookmarkEnd w:id="110"/>
    </w:p>
    <w:p w14:paraId="053BF0EE">
      <w:pPr>
        <w:pStyle w:val="69"/>
        <w:spacing w:before="120" w:after="120"/>
        <w:ind w:left="0"/>
        <w:rPr>
          <w:rFonts w:ascii="宋体" w:hAnsi="宋体" w:eastAsia="宋体"/>
        </w:rPr>
      </w:pPr>
      <w:r>
        <w:rPr>
          <w:rFonts w:hint="eastAsia" w:ascii="宋体" w:hAnsi="宋体" w:eastAsia="宋体"/>
        </w:rPr>
        <w:t>健康监测类别包括几何形变类、结构反应类、环境参数类、外部荷载类及材料特性类，内容宜符合表2</w:t>
      </w:r>
      <w:r>
        <w:rPr>
          <w:rFonts w:ascii="宋体" w:hAnsi="宋体" w:eastAsia="宋体"/>
        </w:rPr>
        <w:t>6</w:t>
      </w:r>
      <w:r>
        <w:rPr>
          <w:rFonts w:hint="eastAsia" w:ascii="宋体" w:hAnsi="宋体" w:eastAsia="宋体"/>
        </w:rPr>
        <w:t>的规定：</w:t>
      </w:r>
    </w:p>
    <w:p w14:paraId="170D93E5">
      <w:pPr>
        <w:spacing w:before="120" w:beforeLines="50" w:after="120" w:afterLines="50"/>
        <w:jc w:val="center"/>
        <w:rPr>
          <w:rFonts w:ascii="黑体" w:hAnsi="黑体" w:eastAsia="黑体"/>
          <w:bCs/>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表2</w:t>
      </w:r>
      <w:r>
        <w:rPr>
          <w:rFonts w:ascii="黑体" w:hAnsi="黑体" w:eastAsia="黑体"/>
          <w:bCs/>
          <w:color w:val="000000" w:themeColor="text1"/>
          <w14:textFill>
            <w14:solidFill>
              <w14:schemeClr w14:val="tx1"/>
            </w14:solidFill>
          </w14:textFill>
        </w:rPr>
        <w:t>6</w:t>
      </w:r>
      <w:r>
        <w:rPr>
          <w:rFonts w:hint="eastAsia" w:ascii="黑体" w:hAnsi="黑体" w:eastAsia="黑体"/>
          <w:bCs/>
          <w:color w:val="000000" w:themeColor="text1"/>
          <w14:textFill>
            <w14:solidFill>
              <w14:schemeClr w14:val="tx1"/>
            </w14:solidFill>
          </w14:textFill>
        </w:rPr>
        <w:t xml:space="preserve">  结构健康监测内容</w:t>
      </w:r>
    </w:p>
    <w:tbl>
      <w:tblPr>
        <w:tblStyle w:val="30"/>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3"/>
        <w:gridCol w:w="6890"/>
      </w:tblGrid>
      <w:tr w14:paraId="01C6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60B53695">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监测类别</w:t>
            </w:r>
          </w:p>
        </w:tc>
        <w:tc>
          <w:tcPr>
            <w:tcW w:w="4000" w:type="pct"/>
            <w:vAlign w:val="center"/>
          </w:tcPr>
          <w:p w14:paraId="18835562">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监测内容</w:t>
            </w:r>
          </w:p>
        </w:tc>
      </w:tr>
      <w:tr w14:paraId="23355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59AF48E8">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几何形变类</w:t>
            </w:r>
          </w:p>
        </w:tc>
        <w:tc>
          <w:tcPr>
            <w:tcW w:w="4000" w:type="pct"/>
            <w:vAlign w:val="center"/>
          </w:tcPr>
          <w:p w14:paraId="0DDD623C">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水平位移、沉降、倾斜、挠度、主体摆幅、机电设备井铅垂度、电梯轨道铅垂度与平顺度等</w:t>
            </w:r>
          </w:p>
        </w:tc>
      </w:tr>
      <w:tr w14:paraId="0990A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31FC9633">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结构反应类</w:t>
            </w:r>
          </w:p>
        </w:tc>
        <w:tc>
          <w:tcPr>
            <w:tcW w:w="4000" w:type="pct"/>
            <w:vAlign w:val="center"/>
          </w:tcPr>
          <w:p w14:paraId="343B7AB9">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应变、内力、速度、加速度等</w:t>
            </w:r>
          </w:p>
        </w:tc>
      </w:tr>
      <w:tr w14:paraId="1D85C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401967E9">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环境参数类</w:t>
            </w:r>
          </w:p>
        </w:tc>
        <w:tc>
          <w:tcPr>
            <w:tcW w:w="4000" w:type="pct"/>
            <w:vAlign w:val="center"/>
          </w:tcPr>
          <w:p w14:paraId="5F3428E7">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温度、湿度、风速、振动频率等</w:t>
            </w:r>
          </w:p>
        </w:tc>
      </w:tr>
      <w:tr w14:paraId="5B7B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3932F9B3">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外部荷载类</w:t>
            </w:r>
          </w:p>
        </w:tc>
        <w:tc>
          <w:tcPr>
            <w:tcW w:w="4000" w:type="pct"/>
            <w:vAlign w:val="center"/>
          </w:tcPr>
          <w:p w14:paraId="5C9AE4F0">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风荷载、吊车荷载等</w:t>
            </w:r>
          </w:p>
        </w:tc>
      </w:tr>
      <w:tr w14:paraId="6B393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vAlign w:val="center"/>
          </w:tcPr>
          <w:p w14:paraId="49B006E9">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材料特性类</w:t>
            </w:r>
          </w:p>
        </w:tc>
        <w:tc>
          <w:tcPr>
            <w:tcW w:w="4000" w:type="pct"/>
            <w:vAlign w:val="center"/>
          </w:tcPr>
          <w:p w14:paraId="22C5FF9B">
            <w:pPr>
              <w:spacing w:line="240" w:lineRule="exact"/>
              <w:jc w:val="center"/>
              <w:rPr>
                <w:rFonts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锈蚀、裂缝、疲劳等</w:t>
            </w:r>
          </w:p>
        </w:tc>
      </w:tr>
    </w:tbl>
    <w:p w14:paraId="58F7C9EA">
      <w:pPr>
        <w:pStyle w:val="69"/>
        <w:spacing w:before="120" w:after="120"/>
        <w:ind w:left="0"/>
        <w:rPr>
          <w:rFonts w:ascii="宋体" w:hAnsi="宋体" w:eastAsia="宋体"/>
        </w:rPr>
      </w:pPr>
      <w:bookmarkStart w:id="111" w:name="OLE_LINK15"/>
      <w:r>
        <w:rPr>
          <w:rFonts w:hint="eastAsia" w:ascii="宋体" w:hAnsi="宋体" w:eastAsia="宋体"/>
        </w:rPr>
        <w:t>结构健康监测应采用自动化健康监测系统，采集结构响应数据与现场环境信息，并通过分析结构的各种特征对结构健康状态进行评价。对重要结构，宜同时采用常规监测手段。</w:t>
      </w:r>
    </w:p>
    <w:bookmarkEnd w:id="111"/>
    <w:p w14:paraId="2DBC79F9">
      <w:pPr>
        <w:pStyle w:val="69"/>
        <w:spacing w:before="120" w:after="120"/>
        <w:ind w:left="0"/>
        <w:rPr>
          <w:rFonts w:ascii="宋体" w:hAnsi="宋体" w:eastAsia="宋体"/>
        </w:rPr>
      </w:pPr>
      <w:r>
        <w:rPr>
          <w:rFonts w:hint="eastAsia" w:ascii="宋体" w:hAnsi="宋体" w:eastAsia="宋体"/>
        </w:rPr>
        <w:t>监测点位置的确定应综合考虑结构类型、设计要求、监测项目及结构分析结果，能充分反应监测对象的实际状态及变化趋势，宜布设在监测参数值的最大位置或附近。</w:t>
      </w:r>
    </w:p>
    <w:p w14:paraId="10E15A7A">
      <w:pPr>
        <w:pStyle w:val="69"/>
        <w:spacing w:before="120" w:after="120"/>
        <w:ind w:left="0"/>
        <w:rPr>
          <w:rFonts w:ascii="宋体" w:hAnsi="宋体" w:eastAsia="宋体"/>
        </w:rPr>
      </w:pPr>
      <w:r>
        <w:rPr>
          <w:rFonts w:hint="eastAsia" w:ascii="宋体" w:hAnsi="宋体" w:eastAsia="宋体"/>
        </w:rPr>
        <w:t>几何形变类的监测宜选择三角形网、全站仪测量、全站仪自动跟踪测量、静力水准测量、卫星定位静态测量、激光测量、地基雷达干涉测量等方法进行，观测技术要求应符合《建筑变形测量规范》JGJ</w:t>
      </w:r>
      <w:r>
        <w:rPr>
          <w:rFonts w:ascii="宋体" w:hAnsi="宋体" w:eastAsia="宋体"/>
        </w:rPr>
        <w:t xml:space="preserve"> </w:t>
      </w:r>
      <w:r>
        <w:rPr>
          <w:rFonts w:hint="eastAsia" w:ascii="宋体" w:hAnsi="宋体" w:eastAsia="宋体"/>
        </w:rPr>
        <w:t>8的相关规定。</w:t>
      </w:r>
    </w:p>
    <w:p w14:paraId="521DFBD7">
      <w:pPr>
        <w:pStyle w:val="69"/>
        <w:spacing w:before="120" w:after="120"/>
        <w:ind w:left="0"/>
        <w:rPr>
          <w:rFonts w:ascii="宋体" w:hAnsi="宋体" w:eastAsia="宋体"/>
        </w:rPr>
      </w:pPr>
      <w:r>
        <w:rPr>
          <w:rFonts w:hint="eastAsia" w:ascii="宋体" w:hAnsi="宋体" w:eastAsia="宋体"/>
        </w:rPr>
        <w:t>结构反应类、环境参数类、外部荷载类及材料特性类的监测，采用传感器的性能参数应符合如下要求：</w:t>
      </w:r>
    </w:p>
    <w:p w14:paraId="03231298">
      <w:pPr>
        <w:numPr>
          <w:ilvl w:val="0"/>
          <w:numId w:val="55"/>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在额定工作环境中应保持稳定的性能；</w:t>
      </w:r>
    </w:p>
    <w:p w14:paraId="1B0917D0">
      <w:pPr>
        <w:numPr>
          <w:ilvl w:val="0"/>
          <w:numId w:val="55"/>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监测量程应与监测范围相适应，应变监测的精度应为满量程的0.5%，监测值宜控制为满量程的30％～80％；</w:t>
      </w:r>
    </w:p>
    <w:p w14:paraId="14BB2C9A">
      <w:pPr>
        <w:numPr>
          <w:ilvl w:val="0"/>
          <w:numId w:val="55"/>
        </w:numPr>
        <w:adjustRightInd/>
        <w:spacing w:before="120" w:beforeLines="50" w:after="120" w:afterLines="50" w:line="240" w:lineRule="auto"/>
        <w:rPr>
          <w:rFonts w:hint="eastAsia" w:ascii="宋体" w:hAnsi="宋体" w:eastAsia="宋体" w:cs="宋体"/>
          <w:bCs/>
        </w:rPr>
      </w:pPr>
      <w:r>
        <w:rPr>
          <w:rFonts w:hint="eastAsia" w:ascii="宋体" w:hAnsi="宋体" w:eastAsia="宋体" w:cs="宋体"/>
          <w:bCs/>
        </w:rPr>
        <w:t>采样频率应满足监测参数的需要。当在对结构加速度等动态反应进行监测时，传感器采样频率应至少为需监测结构最大频率的5倍，宜为5～20倍；</w:t>
      </w:r>
    </w:p>
    <w:p w14:paraId="4964A831">
      <w:pPr>
        <w:numPr>
          <w:ilvl w:val="0"/>
          <w:numId w:val="55"/>
        </w:numPr>
        <w:adjustRightInd/>
        <w:spacing w:before="120" w:beforeLines="50" w:after="120" w:afterLines="50" w:line="240" w:lineRule="auto"/>
        <w:rPr>
          <w:rFonts w:ascii="黑体" w:hAnsi="Ravie"/>
          <w:bCs/>
        </w:rPr>
      </w:pPr>
      <w:r>
        <w:rPr>
          <w:rFonts w:hint="eastAsia" w:ascii="黑体" w:hAnsi="Ravie"/>
          <w:bCs/>
        </w:rPr>
        <w:t>应具备高线性度及稳定的线性输出特性，在结构位移、应变等关键参数的监测中，其非线性误差需控制在监测精度允许范围内；</w:t>
      </w:r>
    </w:p>
    <w:p w14:paraId="002362A7">
      <w:pPr>
        <w:numPr>
          <w:ilvl w:val="0"/>
          <w:numId w:val="55"/>
        </w:numPr>
        <w:adjustRightInd/>
        <w:spacing w:before="120" w:beforeLines="50" w:after="120" w:afterLines="50" w:line="240" w:lineRule="auto"/>
        <w:rPr>
          <w:rFonts w:ascii="黑体" w:hAnsi="Ravie"/>
          <w:bCs/>
        </w:rPr>
      </w:pPr>
      <w:r>
        <w:rPr>
          <w:rFonts w:hint="eastAsia" w:ascii="黑体" w:hAnsi="Ravie"/>
          <w:bCs/>
        </w:rPr>
        <w:t>应具有高灵敏度、高信噪比和高分辨率，分辨率不应低于目标参数的最小分辨量级；</w:t>
      </w:r>
    </w:p>
    <w:p w14:paraId="045D3DD9">
      <w:pPr>
        <w:numPr>
          <w:ilvl w:val="0"/>
          <w:numId w:val="55"/>
        </w:numPr>
        <w:adjustRightInd/>
        <w:spacing w:before="120" w:beforeLines="50" w:after="120" w:afterLines="50" w:line="240" w:lineRule="auto"/>
        <w:rPr>
          <w:rFonts w:ascii="黑体" w:hAnsi="Ravie"/>
          <w:bCs/>
        </w:rPr>
      </w:pPr>
      <w:r>
        <w:rPr>
          <w:rFonts w:hint="eastAsia" w:ascii="黑体" w:hAnsi="Ravie"/>
          <w:bCs/>
        </w:rPr>
        <w:t>迟滞误差、测量漂移应满足监测精度要求；</w:t>
      </w:r>
    </w:p>
    <w:p w14:paraId="0A07E205">
      <w:pPr>
        <w:numPr>
          <w:ilvl w:val="0"/>
          <w:numId w:val="55"/>
        </w:numPr>
        <w:adjustRightInd/>
        <w:spacing w:before="120" w:beforeLines="50" w:after="120" w:afterLines="50" w:line="240" w:lineRule="auto"/>
        <w:rPr>
          <w:rFonts w:ascii="黑体" w:hAnsi="Ravie"/>
          <w:bCs/>
        </w:rPr>
      </w:pPr>
      <w:r>
        <w:rPr>
          <w:rFonts w:hint="eastAsia" w:ascii="黑体" w:hAnsi="Ravie"/>
          <w:bCs/>
        </w:rPr>
        <w:t>应具有良好且稳定的重复性。</w:t>
      </w:r>
    </w:p>
    <w:p w14:paraId="56CB733A">
      <w:pPr>
        <w:pStyle w:val="69"/>
        <w:spacing w:before="120" w:after="120"/>
        <w:ind w:left="0"/>
        <w:rPr>
          <w:rFonts w:ascii="宋体" w:hAnsi="宋体" w:eastAsia="宋体"/>
        </w:rPr>
      </w:pPr>
      <w:r>
        <w:rPr>
          <w:rFonts w:hint="eastAsia" w:ascii="宋体" w:hAnsi="宋体" w:eastAsia="宋体"/>
        </w:rPr>
        <w:t>传感器应布置在能充分反映结构特征及环境因素的关键部位。</w:t>
      </w:r>
    </w:p>
    <w:p w14:paraId="1F297E1C">
      <w:pPr>
        <w:pStyle w:val="69"/>
        <w:spacing w:before="120" w:after="120"/>
        <w:ind w:left="0"/>
        <w:rPr>
          <w:rFonts w:ascii="宋体" w:hAnsi="宋体" w:eastAsia="宋体"/>
        </w:rPr>
      </w:pPr>
      <w:r>
        <w:rPr>
          <w:rFonts w:hint="eastAsia" w:ascii="宋体" w:hAnsi="宋体" w:eastAsia="宋体"/>
        </w:rPr>
        <w:t>健康监测频率以能反映监测对象的结构反应和结构状态为基础，并根据结构状态、环境变化及施工阶段动态调整。</w:t>
      </w:r>
    </w:p>
    <w:p w14:paraId="317ABBCC">
      <w:pPr>
        <w:pStyle w:val="109"/>
        <w:spacing w:before="120" w:after="120"/>
        <w:ind w:left="0"/>
      </w:pPr>
      <w:bookmarkStart w:id="112" w:name="_Toc203213063"/>
      <w:r>
        <w:rPr>
          <w:rFonts w:hint="eastAsia"/>
        </w:rPr>
        <w:t>大型施工装备安全监测</w:t>
      </w:r>
      <w:bookmarkEnd w:id="112"/>
    </w:p>
    <w:p w14:paraId="204FF8FE">
      <w:pPr>
        <w:pStyle w:val="69"/>
        <w:spacing w:before="120" w:after="120"/>
        <w:ind w:left="0"/>
        <w:rPr>
          <w:rFonts w:ascii="宋体" w:hAnsi="宋体" w:eastAsia="宋体"/>
        </w:rPr>
      </w:pPr>
      <w:r>
        <w:rPr>
          <w:rFonts w:hint="eastAsia" w:ascii="宋体" w:hAnsi="宋体" w:eastAsia="宋体"/>
        </w:rPr>
        <w:t>大型施工装备安全监测主要包括附着式爬升脚手架、爬模等安全监测。</w:t>
      </w:r>
    </w:p>
    <w:p w14:paraId="301CB162">
      <w:pPr>
        <w:pStyle w:val="69"/>
        <w:spacing w:before="120" w:after="120"/>
        <w:ind w:left="0"/>
        <w:rPr>
          <w:rFonts w:ascii="宋体" w:hAnsi="宋体" w:eastAsia="宋体"/>
        </w:rPr>
      </w:pPr>
      <w:r>
        <w:rPr>
          <w:rFonts w:hint="eastAsia" w:ascii="宋体" w:hAnsi="宋体" w:eastAsia="宋体"/>
        </w:rPr>
        <w:t>监测项目包括竖向变形监测、水平变形监测及应力应变监测。</w:t>
      </w:r>
    </w:p>
    <w:p w14:paraId="0C2FF7AC">
      <w:pPr>
        <w:pStyle w:val="69"/>
        <w:spacing w:before="120" w:after="120"/>
        <w:ind w:left="0"/>
        <w:rPr>
          <w:rFonts w:ascii="宋体" w:hAnsi="宋体" w:eastAsia="宋体"/>
        </w:rPr>
      </w:pPr>
      <w:r>
        <w:rPr>
          <w:rFonts w:hint="eastAsia" w:ascii="宋体" w:hAnsi="宋体" w:eastAsia="宋体"/>
        </w:rPr>
        <w:t>监测方法参照本规范10.2.3与10.3.1相关规定，其中变形监测宜采用卫星定位技术。监测系统的采样频率应满足监测要求，宜进行实时监测。</w:t>
      </w:r>
    </w:p>
    <w:p w14:paraId="2DBEC670">
      <w:pPr>
        <w:pStyle w:val="69"/>
        <w:spacing w:before="120" w:after="120"/>
        <w:ind w:left="0"/>
        <w:rPr>
          <w:rFonts w:ascii="宋体" w:hAnsi="宋体" w:eastAsia="宋体"/>
        </w:rPr>
      </w:pPr>
      <w:r>
        <w:rPr>
          <w:rFonts w:hint="eastAsia" w:ascii="宋体" w:hAnsi="宋体" w:eastAsia="宋体"/>
        </w:rPr>
        <w:t>监测预警值应根据安全控制的不同目标进行分级预警。</w:t>
      </w:r>
    </w:p>
    <w:p w14:paraId="0300F98B">
      <w:pPr>
        <w:pStyle w:val="69"/>
        <w:spacing w:before="120" w:after="120"/>
        <w:ind w:left="0"/>
        <w:rPr>
          <w:rFonts w:ascii="宋体" w:hAnsi="宋体" w:eastAsia="宋体"/>
        </w:rPr>
      </w:pPr>
      <w:r>
        <w:rPr>
          <w:rFonts w:hint="eastAsia" w:ascii="宋体" w:hAnsi="宋体" w:eastAsia="宋体"/>
        </w:rPr>
        <w:t>监测点应反映监测对象的实际状态及变化趋势，且宜布置在架体变形较大部位及附墙支座、支撑杆件等关键受力部位。</w:t>
      </w:r>
    </w:p>
    <w:p w14:paraId="3387C929">
      <w:pPr>
        <w:pStyle w:val="109"/>
        <w:spacing w:before="120" w:after="120"/>
        <w:ind w:left="0"/>
      </w:pPr>
      <w:bookmarkStart w:id="113" w:name="_Toc91590504"/>
      <w:bookmarkStart w:id="114" w:name="_Toc81571062"/>
      <w:bookmarkStart w:id="115" w:name="_Toc203213064"/>
      <w:r>
        <w:rPr>
          <w:rFonts w:hint="eastAsia"/>
        </w:rPr>
        <w:t>成果整理</w:t>
      </w:r>
      <w:bookmarkEnd w:id="113"/>
      <w:bookmarkEnd w:id="114"/>
      <w:r>
        <w:rPr>
          <w:rFonts w:hint="eastAsia"/>
        </w:rPr>
        <w:t>与分析</w:t>
      </w:r>
      <w:bookmarkEnd w:id="115"/>
    </w:p>
    <w:p w14:paraId="51AF9CA2">
      <w:pPr>
        <w:pStyle w:val="69"/>
        <w:spacing w:before="120" w:after="120"/>
        <w:ind w:left="0"/>
        <w:rPr>
          <w:rFonts w:ascii="宋体" w:hAnsi="宋体" w:eastAsia="宋体"/>
        </w:rPr>
      </w:pPr>
      <w:r>
        <w:rPr>
          <w:rFonts w:hint="eastAsia" w:ascii="宋体" w:hAnsi="宋体" w:eastAsia="宋体"/>
        </w:rPr>
        <w:t>监测资料成果整理与分析应满足下列要求：</w:t>
      </w:r>
    </w:p>
    <w:p w14:paraId="6F303BB8">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及时整理监测资料，确保监测记录真实可靠、完整可追溯；</w:t>
      </w:r>
    </w:p>
    <w:p w14:paraId="27CF5B5F">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监测数据应及时进行定量与定性分析，可综合运用图表法、统计法、对比法及建模法等分析方法，揭示数据内在规律与结构响应特性；</w:t>
      </w:r>
    </w:p>
    <w:p w14:paraId="252B2777">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应参考结构主体模型，对时间、温度、风力等环境因素与结构累计变形的相关性分析，揭示温度、风力等环境因素对主体结构倾斜的影响规律；</w:t>
      </w:r>
    </w:p>
    <w:p w14:paraId="0B7CDDD9">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应开展累计变形量的时间序列分析与变形速率的高度分布分析，量化结构摆幅随时间及高度的变化规律；</w:t>
      </w:r>
    </w:p>
    <w:p w14:paraId="4CCCB943">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应进行应力、应变监测数据与结构变形、结构健康状态的关联性分析；</w:t>
      </w:r>
    </w:p>
    <w:p w14:paraId="2B63A5A1">
      <w:pPr>
        <w:numPr>
          <w:ilvl w:val="0"/>
          <w:numId w:val="56"/>
        </w:numPr>
        <w:adjustRightInd/>
        <w:spacing w:before="120" w:beforeLines="50" w:after="120" w:afterLines="50" w:line="240" w:lineRule="auto"/>
        <w:rPr>
          <w:rFonts w:ascii="宋体" w:hAnsi="宋体"/>
          <w:kern w:val="0"/>
          <w:szCs w:val="20"/>
        </w:rPr>
      </w:pPr>
      <w:r>
        <w:rPr>
          <w:rFonts w:hint="eastAsia" w:ascii="宋体" w:hAnsi="宋体"/>
          <w:kern w:val="0"/>
          <w:szCs w:val="20"/>
        </w:rPr>
        <w:t>结构变形与健康监测资料应纳入信息化施工管理平台，并为建筑全生命周期结构完整的变化趋势分析提供数据支持。</w:t>
      </w:r>
    </w:p>
    <w:p w14:paraId="0DCF5679">
      <w:pPr>
        <w:pStyle w:val="69"/>
        <w:spacing w:before="120" w:after="120"/>
        <w:ind w:left="0"/>
        <w:rPr>
          <w:rFonts w:ascii="宋体" w:hAnsi="宋体" w:eastAsia="宋体"/>
        </w:rPr>
      </w:pPr>
      <w:r>
        <w:rPr>
          <w:rFonts w:hint="eastAsia" w:ascii="宋体" w:hAnsi="宋体" w:eastAsia="宋体"/>
        </w:rPr>
        <w:t>结构变形监测应提交下列成果资料：</w:t>
      </w:r>
    </w:p>
    <w:p w14:paraId="0C3A2906">
      <w:pPr>
        <w:numPr>
          <w:ilvl w:val="0"/>
          <w:numId w:val="57"/>
        </w:numPr>
        <w:adjustRightInd/>
        <w:spacing w:before="120" w:beforeLines="50" w:after="120" w:afterLines="50" w:line="240" w:lineRule="auto"/>
        <w:rPr>
          <w:rFonts w:ascii="宋体" w:hAnsi="宋体"/>
          <w:kern w:val="0"/>
          <w:szCs w:val="20"/>
        </w:rPr>
      </w:pPr>
      <w:r>
        <w:rPr>
          <w:rFonts w:hint="eastAsia" w:ascii="宋体" w:hAnsi="宋体"/>
          <w:kern w:val="0"/>
          <w:szCs w:val="20"/>
        </w:rPr>
        <w:t>变形监测技术方案；</w:t>
      </w:r>
    </w:p>
    <w:p w14:paraId="621B3516">
      <w:pPr>
        <w:numPr>
          <w:ilvl w:val="0"/>
          <w:numId w:val="57"/>
        </w:numPr>
        <w:adjustRightInd/>
        <w:spacing w:before="120" w:beforeLines="50" w:after="120" w:afterLines="50" w:line="240" w:lineRule="auto"/>
        <w:rPr>
          <w:rFonts w:ascii="宋体" w:hAnsi="宋体"/>
          <w:kern w:val="0"/>
          <w:szCs w:val="20"/>
        </w:rPr>
      </w:pPr>
      <w:r>
        <w:rPr>
          <w:rFonts w:hint="eastAsia" w:ascii="宋体" w:hAnsi="宋体"/>
          <w:kern w:val="0"/>
          <w:szCs w:val="20"/>
        </w:rPr>
        <w:t>变形监测技术报告。技术报告主要内容应包括项目概况、作业过程及技术方法、成果质量检验情况、监测过程中出现的异常情况、变形分析方法、监测结论和建议、监测成果数据、监测成果图（表）等。</w:t>
      </w:r>
    </w:p>
    <w:p w14:paraId="2AD5BCC9">
      <w:pPr>
        <w:pStyle w:val="69"/>
        <w:spacing w:before="120" w:after="120"/>
        <w:ind w:left="0"/>
        <w:rPr>
          <w:rFonts w:ascii="宋体" w:hAnsi="宋体" w:eastAsia="宋体"/>
        </w:rPr>
      </w:pPr>
      <w:r>
        <w:rPr>
          <w:rFonts w:hint="eastAsia" w:ascii="宋体" w:hAnsi="宋体" w:eastAsia="宋体"/>
        </w:rPr>
        <w:t>健康监测应提交下列成果资料：</w:t>
      </w:r>
    </w:p>
    <w:p w14:paraId="6CD00B46">
      <w:pPr>
        <w:numPr>
          <w:ilvl w:val="0"/>
          <w:numId w:val="58"/>
        </w:numPr>
        <w:adjustRightInd/>
        <w:spacing w:before="120" w:beforeLines="50" w:after="120" w:afterLines="50" w:line="240" w:lineRule="auto"/>
        <w:rPr>
          <w:rFonts w:ascii="宋体" w:hAnsi="宋体"/>
          <w:kern w:val="0"/>
          <w:szCs w:val="20"/>
        </w:rPr>
      </w:pPr>
      <w:r>
        <w:rPr>
          <w:rFonts w:hint="eastAsia" w:ascii="宋体" w:hAnsi="宋体"/>
          <w:kern w:val="0"/>
          <w:szCs w:val="20"/>
        </w:rPr>
        <w:t>健康监测技术方案；</w:t>
      </w:r>
    </w:p>
    <w:p w14:paraId="00C8C4C5">
      <w:pPr>
        <w:numPr>
          <w:ilvl w:val="0"/>
          <w:numId w:val="58"/>
        </w:numPr>
        <w:adjustRightInd/>
        <w:spacing w:before="120" w:beforeLines="50" w:after="120" w:afterLines="50" w:line="240" w:lineRule="auto"/>
        <w:rPr>
          <w:rFonts w:ascii="宋体" w:hAnsi="宋体"/>
          <w:kern w:val="0"/>
          <w:szCs w:val="20"/>
        </w:rPr>
      </w:pPr>
      <w:r>
        <w:rPr>
          <w:rFonts w:hint="eastAsia" w:ascii="宋体" w:hAnsi="宋体"/>
          <w:kern w:val="0"/>
          <w:szCs w:val="20"/>
        </w:rPr>
        <w:t>健康监测技术报告；</w:t>
      </w:r>
    </w:p>
    <w:p w14:paraId="08333296">
      <w:pPr>
        <w:numPr>
          <w:ilvl w:val="0"/>
          <w:numId w:val="58"/>
        </w:numPr>
        <w:adjustRightInd/>
        <w:spacing w:before="120" w:beforeLines="50" w:after="120" w:afterLines="50" w:line="240" w:lineRule="auto"/>
        <w:rPr>
          <w:rFonts w:ascii="宋体" w:hAnsi="宋体"/>
          <w:kern w:val="0"/>
          <w:szCs w:val="20"/>
        </w:rPr>
      </w:pPr>
      <w:r>
        <w:rPr>
          <w:rFonts w:hint="eastAsia" w:ascii="宋体" w:hAnsi="宋体"/>
          <w:kern w:val="0"/>
          <w:szCs w:val="20"/>
        </w:rPr>
        <w:t>自动化监测系统及相关术资料。</w:t>
      </w:r>
    </w:p>
    <w:p w14:paraId="6B51DD5D">
      <w:pPr>
        <w:pStyle w:val="69"/>
        <w:spacing w:before="120" w:after="120"/>
        <w:ind w:left="0"/>
        <w:rPr>
          <w:rFonts w:ascii="宋体" w:hAnsi="宋体" w:eastAsia="宋体"/>
        </w:rPr>
      </w:pPr>
      <w:r>
        <w:rPr>
          <w:rFonts w:hint="eastAsia" w:ascii="宋体" w:hAnsi="宋体" w:eastAsia="宋体"/>
        </w:rPr>
        <w:t>大型施工装备安全监测应提交下列成果资料：</w:t>
      </w:r>
    </w:p>
    <w:p w14:paraId="17854F50">
      <w:pPr>
        <w:numPr>
          <w:ilvl w:val="0"/>
          <w:numId w:val="59"/>
        </w:numPr>
        <w:adjustRightInd/>
        <w:spacing w:before="120" w:beforeLines="50" w:after="120" w:afterLines="50" w:line="240" w:lineRule="auto"/>
        <w:rPr>
          <w:rFonts w:ascii="宋体" w:hAnsi="宋体"/>
          <w:kern w:val="0"/>
          <w:szCs w:val="20"/>
        </w:rPr>
      </w:pPr>
      <w:r>
        <w:rPr>
          <w:rFonts w:hint="eastAsia" w:ascii="宋体" w:hAnsi="宋体"/>
          <w:kern w:val="0"/>
          <w:szCs w:val="20"/>
        </w:rPr>
        <w:t>安全监测技术方案；</w:t>
      </w:r>
    </w:p>
    <w:p w14:paraId="3BAB563F">
      <w:pPr>
        <w:numPr>
          <w:ilvl w:val="0"/>
          <w:numId w:val="59"/>
        </w:numPr>
        <w:adjustRightInd/>
        <w:spacing w:before="120" w:beforeLines="50" w:after="120" w:afterLines="50" w:line="240" w:lineRule="auto"/>
        <w:rPr>
          <w:rFonts w:ascii="宋体" w:hAnsi="宋体"/>
          <w:kern w:val="0"/>
          <w:szCs w:val="20"/>
        </w:rPr>
      </w:pPr>
      <w:r>
        <w:rPr>
          <w:rFonts w:hint="eastAsia" w:ascii="宋体" w:hAnsi="宋体"/>
          <w:kern w:val="0"/>
          <w:szCs w:val="20"/>
        </w:rPr>
        <w:t>安全监测技术报告；</w:t>
      </w:r>
    </w:p>
    <w:p w14:paraId="738EDC2B">
      <w:pPr>
        <w:numPr>
          <w:ilvl w:val="0"/>
          <w:numId w:val="59"/>
        </w:numPr>
        <w:adjustRightInd/>
        <w:spacing w:before="120" w:beforeLines="50" w:after="120" w:afterLines="50" w:line="240" w:lineRule="auto"/>
        <w:rPr>
          <w:rFonts w:ascii="宋体" w:hAnsi="宋体"/>
          <w:kern w:val="0"/>
          <w:szCs w:val="20"/>
        </w:rPr>
      </w:pPr>
      <w:r>
        <w:rPr>
          <w:rFonts w:hint="eastAsia" w:ascii="宋体" w:hAnsi="宋体"/>
          <w:kern w:val="0"/>
          <w:szCs w:val="20"/>
        </w:rPr>
        <w:t>其他相关技术资料。</w:t>
      </w:r>
    </w:p>
    <w:p w14:paraId="3C25D5E9">
      <w:pPr>
        <w:pStyle w:val="108"/>
        <w:spacing w:before="240" w:after="240"/>
        <w:rPr>
          <w:color w:val="FF0000"/>
        </w:rPr>
      </w:pPr>
      <w:bookmarkStart w:id="116" w:name="_Toc81571063"/>
      <w:bookmarkStart w:id="117" w:name="_Toc91590505"/>
      <w:bookmarkStart w:id="118" w:name="_Toc203213065"/>
      <w:r>
        <w:rPr>
          <w:rFonts w:hint="eastAsia"/>
        </w:rPr>
        <w:t>竣工测量</w:t>
      </w:r>
      <w:bookmarkEnd w:id="116"/>
      <w:bookmarkEnd w:id="117"/>
      <w:bookmarkEnd w:id="118"/>
    </w:p>
    <w:p w14:paraId="69095565">
      <w:pPr>
        <w:pStyle w:val="109"/>
        <w:spacing w:before="120" w:after="120"/>
        <w:ind w:left="0"/>
      </w:pPr>
      <w:bookmarkStart w:id="119" w:name="_Toc81571064"/>
      <w:bookmarkStart w:id="120" w:name="_Toc79072400"/>
      <w:bookmarkStart w:id="121" w:name="_Toc91590506"/>
      <w:bookmarkStart w:id="122" w:name="_Toc203213066"/>
      <w:r>
        <w:rPr>
          <w:rFonts w:hint="eastAsia"/>
        </w:rPr>
        <w:t>一般规定</w:t>
      </w:r>
      <w:bookmarkEnd w:id="119"/>
      <w:bookmarkEnd w:id="120"/>
      <w:bookmarkEnd w:id="121"/>
      <w:bookmarkEnd w:id="122"/>
    </w:p>
    <w:p w14:paraId="052095EB">
      <w:pPr>
        <w:pStyle w:val="69"/>
        <w:spacing w:before="120" w:after="120"/>
        <w:ind w:left="0"/>
        <w:rPr>
          <w:rFonts w:ascii="宋体" w:hAnsi="宋体" w:eastAsia="宋体"/>
        </w:rPr>
      </w:pPr>
      <w:r>
        <w:rPr>
          <w:rFonts w:hint="eastAsia" w:ascii="宋体" w:hAnsi="宋体" w:eastAsia="宋体"/>
        </w:rPr>
        <w:t>竣工测量的工作内容包括竣工总图测绘、建筑外轮廓线的测量、建筑高度测量、竣工测量成果报告书编制等。</w:t>
      </w:r>
    </w:p>
    <w:p w14:paraId="515B2F91">
      <w:pPr>
        <w:pStyle w:val="69"/>
        <w:spacing w:before="120" w:after="120"/>
        <w:ind w:left="0"/>
        <w:rPr>
          <w:rFonts w:ascii="宋体" w:hAnsi="宋体" w:eastAsia="宋体"/>
        </w:rPr>
      </w:pPr>
      <w:r>
        <w:rPr>
          <w:rFonts w:hint="eastAsia" w:ascii="宋体" w:hAnsi="宋体" w:eastAsia="宋体"/>
        </w:rPr>
        <w:t>竣工测量前应收集经当地规划建设主管部门审批的建筑红线图、建设工程规划许可证及附图、建筑规划总平面图、已有控制点、施工设计图和拨地定桩成果及其他测量相关材料。</w:t>
      </w:r>
    </w:p>
    <w:p w14:paraId="0F49F0FB">
      <w:pPr>
        <w:pStyle w:val="69"/>
        <w:spacing w:before="120" w:after="120"/>
        <w:ind w:left="0"/>
        <w:rPr>
          <w:rFonts w:ascii="宋体" w:hAnsi="宋体" w:eastAsia="宋体"/>
        </w:rPr>
      </w:pPr>
      <w:r>
        <w:rPr>
          <w:rFonts w:hint="eastAsia" w:ascii="宋体" w:hAnsi="宋体" w:eastAsia="宋体"/>
        </w:rPr>
        <w:t>竣工测量利用原控制点的，需进行复测检查，精度应满足细部点测量的要求，如原控制点被破坏，应予以恢复或重新建立，恢复后的控制点点位精度，应能满足细部点测量的精度要求。</w:t>
      </w:r>
    </w:p>
    <w:p w14:paraId="6731A045">
      <w:pPr>
        <w:pStyle w:val="69"/>
        <w:spacing w:before="120" w:after="120"/>
        <w:ind w:left="0"/>
        <w:rPr>
          <w:rFonts w:ascii="宋体" w:hAnsi="宋体" w:eastAsia="宋体"/>
        </w:rPr>
      </w:pPr>
      <w:r>
        <w:rPr>
          <w:rFonts w:hint="eastAsia" w:ascii="宋体" w:hAnsi="宋体" w:eastAsia="宋体"/>
        </w:rPr>
        <w:t>竣工测量成果应采用统一标准格式的图纸和电子文档，竣工图的比例尺，宜与建筑规划总平面图一致，也可选用1：500测图比例尺；当建筑密集且1：500比例尺不能满足要求或委托方有特殊要求时可加大比例尺。</w:t>
      </w:r>
    </w:p>
    <w:p w14:paraId="0E709AC0">
      <w:pPr>
        <w:pStyle w:val="69"/>
        <w:spacing w:before="120" w:after="120"/>
        <w:ind w:left="0"/>
        <w:rPr>
          <w:rFonts w:ascii="宋体" w:hAnsi="宋体" w:eastAsia="宋体"/>
        </w:rPr>
      </w:pPr>
      <w:r>
        <w:rPr>
          <w:rFonts w:hint="eastAsia" w:ascii="宋体" w:hAnsi="宋体" w:eastAsia="宋体"/>
        </w:rPr>
        <w:t>竣工总图图幅大小、图上注记、线条规格，应与原建筑规划总平面图一致，对于其附属部位，可注明相对尺寸关系；图例符号按GB/T 50103执行。</w:t>
      </w:r>
    </w:p>
    <w:p w14:paraId="57C723FB">
      <w:pPr>
        <w:pStyle w:val="69"/>
        <w:spacing w:before="120" w:after="120"/>
        <w:ind w:left="0"/>
        <w:rPr>
          <w:rFonts w:ascii="宋体" w:hAnsi="宋体" w:eastAsia="宋体"/>
        </w:rPr>
      </w:pPr>
      <w:r>
        <w:rPr>
          <w:rFonts w:hint="eastAsia" w:ascii="宋体" w:hAnsi="宋体" w:eastAsia="宋体"/>
        </w:rPr>
        <w:t>竣工测量涉及的建筑面积计算宜按建筑所在地有地方要求计算。</w:t>
      </w:r>
    </w:p>
    <w:p w14:paraId="30F92371">
      <w:pPr>
        <w:pStyle w:val="69"/>
        <w:spacing w:before="120" w:after="120"/>
        <w:ind w:left="0"/>
        <w:rPr>
          <w:rFonts w:ascii="宋体" w:hAnsi="宋体" w:eastAsia="宋体"/>
        </w:rPr>
      </w:pPr>
      <w:r>
        <w:rPr>
          <w:rFonts w:hint="eastAsia" w:ascii="宋体" w:hAnsi="宋体" w:eastAsia="宋体"/>
        </w:rPr>
        <w:t>竣工总图编绘完成后，应经委托方召集原设计及施工单位技术负责人审核、会签，报规划建设主管部门存档。</w:t>
      </w:r>
    </w:p>
    <w:p w14:paraId="635C3A69">
      <w:pPr>
        <w:pStyle w:val="109"/>
        <w:spacing w:before="120" w:after="120"/>
        <w:ind w:left="0"/>
      </w:pPr>
      <w:bookmarkStart w:id="123" w:name="_Toc203213067"/>
      <w:r>
        <w:rPr>
          <w:rFonts w:hint="eastAsia"/>
        </w:rPr>
        <w:t>测量方法</w:t>
      </w:r>
      <w:bookmarkEnd w:id="123"/>
    </w:p>
    <w:p w14:paraId="4FE3B8A4">
      <w:pPr>
        <w:pStyle w:val="69"/>
        <w:spacing w:before="120" w:after="120"/>
        <w:ind w:left="0"/>
        <w:rPr>
          <w:rFonts w:ascii="宋体" w:hAnsi="宋体" w:eastAsia="宋体"/>
        </w:rPr>
      </w:pPr>
      <w:r>
        <w:rPr>
          <w:rFonts w:hint="eastAsia" w:ascii="宋体" w:hAnsi="宋体" w:eastAsia="宋体"/>
        </w:rPr>
        <w:t>竣工总图测绘宜采用全站仪测图、RTK测图、三维激光扫描测图及无人机摄影测量等方法。</w:t>
      </w:r>
    </w:p>
    <w:p w14:paraId="17C8E81E">
      <w:pPr>
        <w:pStyle w:val="69"/>
        <w:spacing w:before="120" w:after="120"/>
        <w:ind w:left="0"/>
        <w:rPr>
          <w:rFonts w:ascii="宋体" w:hAnsi="宋体" w:eastAsia="宋体"/>
        </w:rPr>
      </w:pPr>
      <w:r>
        <w:rPr>
          <w:rFonts w:hint="eastAsia" w:ascii="宋体" w:hAnsi="宋体" w:eastAsia="宋体"/>
        </w:rPr>
        <w:t xml:space="preserve">外轮廓线应按实际位置和形状进行测定，建筑外轮廓点坐标宜采用极坐标法进行测量，测量的位置应按下列要求确定： </w:t>
      </w:r>
    </w:p>
    <w:p w14:paraId="482A4209">
      <w:pPr>
        <w:numPr>
          <w:ilvl w:val="0"/>
          <w:numId w:val="60"/>
        </w:numPr>
        <w:adjustRightInd/>
        <w:spacing w:before="120" w:beforeLines="50" w:after="120" w:afterLines="50" w:line="240" w:lineRule="auto"/>
        <w:rPr>
          <w:rFonts w:ascii="宋体" w:hAnsi="宋体"/>
          <w:kern w:val="0"/>
          <w:szCs w:val="20"/>
        </w:rPr>
      </w:pPr>
      <w:r>
        <w:rPr>
          <w:rFonts w:hint="eastAsia" w:ascii="宋体" w:hAnsi="宋体"/>
          <w:kern w:val="0"/>
          <w:szCs w:val="20"/>
        </w:rPr>
        <w:t>矩形建筑墙角点；</w:t>
      </w:r>
    </w:p>
    <w:p w14:paraId="50CF3077">
      <w:pPr>
        <w:numPr>
          <w:ilvl w:val="0"/>
          <w:numId w:val="60"/>
        </w:numPr>
        <w:adjustRightInd/>
        <w:spacing w:before="120" w:beforeLines="50" w:after="120" w:afterLines="50" w:line="240" w:lineRule="auto"/>
        <w:rPr>
          <w:rFonts w:ascii="宋体" w:hAnsi="宋体"/>
          <w:kern w:val="0"/>
          <w:szCs w:val="20"/>
        </w:rPr>
      </w:pPr>
      <w:r>
        <w:rPr>
          <w:rFonts w:hint="eastAsia" w:ascii="宋体" w:hAnsi="宋体"/>
          <w:kern w:val="0"/>
          <w:szCs w:val="20"/>
        </w:rPr>
        <w:t>圆形建筑圆心或求算点；</w:t>
      </w:r>
    </w:p>
    <w:p w14:paraId="61B833F8">
      <w:pPr>
        <w:numPr>
          <w:ilvl w:val="0"/>
          <w:numId w:val="60"/>
        </w:numPr>
        <w:adjustRightInd/>
        <w:spacing w:before="120" w:beforeLines="50" w:after="120" w:afterLines="50" w:line="240" w:lineRule="auto"/>
        <w:rPr>
          <w:rFonts w:ascii="宋体" w:hAnsi="宋体"/>
          <w:kern w:val="0"/>
          <w:szCs w:val="20"/>
        </w:rPr>
      </w:pPr>
      <w:r>
        <w:rPr>
          <w:rFonts w:hint="eastAsia" w:ascii="宋体" w:hAnsi="宋体"/>
          <w:kern w:val="0"/>
          <w:szCs w:val="20"/>
        </w:rPr>
        <w:t>规划文件中标注坐标的建(构)筑物外轮廓点位；</w:t>
      </w:r>
    </w:p>
    <w:p w14:paraId="706EE2BF">
      <w:pPr>
        <w:numPr>
          <w:ilvl w:val="0"/>
          <w:numId w:val="60"/>
        </w:numPr>
        <w:adjustRightInd/>
        <w:spacing w:before="120" w:beforeLines="50" w:after="120" w:afterLines="50" w:line="240" w:lineRule="auto"/>
        <w:rPr>
          <w:rFonts w:ascii="宋体" w:hAnsi="宋体"/>
          <w:kern w:val="0"/>
          <w:szCs w:val="20"/>
        </w:rPr>
      </w:pPr>
      <w:r>
        <w:rPr>
          <w:rFonts w:hint="eastAsia" w:ascii="宋体" w:hAnsi="宋体"/>
          <w:kern w:val="0"/>
          <w:szCs w:val="20"/>
        </w:rPr>
        <w:t>其它形状建筑墙角或其它特征点。</w:t>
      </w:r>
    </w:p>
    <w:p w14:paraId="3E5BA4CB">
      <w:pPr>
        <w:pStyle w:val="69"/>
        <w:spacing w:before="120" w:after="120"/>
        <w:ind w:left="0"/>
        <w:rPr>
          <w:rFonts w:ascii="宋体" w:hAnsi="宋体" w:eastAsia="宋体"/>
        </w:rPr>
      </w:pPr>
      <w:r>
        <w:rPr>
          <w:rFonts w:hint="eastAsia" w:ascii="宋体" w:hAnsi="宋体" w:eastAsia="宋体"/>
        </w:rPr>
        <w:t>首层室内、外地坪的标高宜采用几何水准测量，其余各层地坪可用手持测距仪、钢尺实量等方法施测。各屋脊、檐口和女儿墙高度可采用光电测距三角高程、钢尺或手持测距仪实量等方法施测，两次测量值的较差不得大于0.05m，取平均值作为最终值。</w:t>
      </w:r>
    </w:p>
    <w:p w14:paraId="36BCBE03">
      <w:pPr>
        <w:pStyle w:val="69"/>
        <w:spacing w:before="120" w:after="120"/>
        <w:ind w:left="0"/>
        <w:rPr>
          <w:rFonts w:ascii="宋体" w:hAnsi="宋体" w:eastAsia="宋体"/>
        </w:rPr>
      </w:pPr>
      <w:r>
        <w:rPr>
          <w:rFonts w:hint="eastAsia" w:ascii="宋体" w:hAnsi="宋体" w:eastAsia="宋体"/>
        </w:rPr>
        <w:t>主要角点坐标点位中误差和细部高程点的高程中误差应符合CJJ/T 8的规定。</w:t>
      </w:r>
    </w:p>
    <w:p w14:paraId="3FC9CBD8">
      <w:pPr>
        <w:pStyle w:val="69"/>
        <w:spacing w:before="120" w:after="120"/>
        <w:ind w:left="0"/>
        <w:rPr>
          <w:rFonts w:ascii="宋体" w:hAnsi="宋体" w:eastAsia="宋体"/>
        </w:rPr>
      </w:pPr>
      <w:r>
        <w:rPr>
          <w:rFonts w:hint="eastAsia" w:ascii="宋体" w:hAnsi="宋体" w:eastAsia="宋体"/>
        </w:rPr>
        <w:t>高度测量应符合下列规定：</w:t>
      </w:r>
    </w:p>
    <w:p w14:paraId="68D55CE1">
      <w:pPr>
        <w:pStyle w:val="240"/>
        <w:numPr>
          <w:ilvl w:val="0"/>
          <w:numId w:val="61"/>
        </w:numPr>
        <w:ind w:firstLineChars="0"/>
        <w:rPr>
          <w:rFonts w:ascii="宋体" w:hAnsi="宋体"/>
          <w:kern w:val="0"/>
          <w:szCs w:val="20"/>
        </w:rPr>
      </w:pPr>
      <w:r>
        <w:rPr>
          <w:rFonts w:hint="eastAsia" w:ascii="宋体" w:hAnsi="宋体"/>
          <w:kern w:val="0"/>
          <w:szCs w:val="20"/>
        </w:rPr>
        <w:t>应测量建筑的高度、层高和首层室内外地坪高程；室外地坪高程测量应起闭于等级控制点或水准点，不低于图根水准方法施测。</w:t>
      </w:r>
    </w:p>
    <w:p w14:paraId="7C53E84A">
      <w:pPr>
        <w:numPr>
          <w:ilvl w:val="0"/>
          <w:numId w:val="61"/>
        </w:numPr>
        <w:adjustRightInd/>
        <w:spacing w:before="120" w:beforeLines="50" w:after="120" w:afterLines="50" w:line="240" w:lineRule="auto"/>
        <w:rPr>
          <w:rFonts w:ascii="宋体" w:hAnsi="宋体"/>
          <w:kern w:val="0"/>
          <w:szCs w:val="20"/>
        </w:rPr>
      </w:pPr>
      <w:r>
        <w:rPr>
          <w:rFonts w:hint="eastAsia" w:ascii="宋体" w:hAnsi="宋体"/>
          <w:kern w:val="0"/>
          <w:szCs w:val="20"/>
        </w:rPr>
        <w:t>平屋顶建筑高度，应测量女儿墙顶至室外地坪的高度及女儿墙高；当建筑同一立面不同位置室外地坪高度不一致时，宜分别标注；</w:t>
      </w:r>
    </w:p>
    <w:p w14:paraId="38454CC7">
      <w:pPr>
        <w:numPr>
          <w:ilvl w:val="0"/>
          <w:numId w:val="61"/>
        </w:numPr>
        <w:adjustRightInd/>
        <w:spacing w:before="120" w:beforeLines="50" w:after="120" w:afterLines="50" w:line="240" w:lineRule="auto"/>
        <w:rPr>
          <w:rFonts w:ascii="宋体" w:hAnsi="宋体"/>
          <w:color w:val="FF0000"/>
          <w:kern w:val="0"/>
          <w:szCs w:val="20"/>
        </w:rPr>
      </w:pPr>
      <w:r>
        <w:rPr>
          <w:rFonts w:hint="eastAsia" w:ascii="宋体" w:hAnsi="宋体"/>
          <w:kern w:val="0"/>
          <w:szCs w:val="20"/>
        </w:rPr>
        <w:t>坡屋面或不规则屋面顶的建筑的高度，可测量建筑屋面下檐口至室外地坪的高度，当屋顶坡度大于30°时，测量坡屋顶高度一半处至室外地坪的高度；</w:t>
      </w:r>
    </w:p>
    <w:p w14:paraId="078C28D1">
      <w:pPr>
        <w:numPr>
          <w:ilvl w:val="0"/>
          <w:numId w:val="61"/>
        </w:numPr>
        <w:adjustRightInd/>
        <w:spacing w:before="120" w:beforeLines="50" w:after="120" w:afterLines="50" w:line="240" w:lineRule="auto"/>
        <w:rPr>
          <w:rFonts w:ascii="宋体" w:hAnsi="宋体"/>
          <w:kern w:val="0"/>
          <w:szCs w:val="20"/>
        </w:rPr>
      </w:pPr>
      <w:r>
        <w:rPr>
          <w:rFonts w:hint="eastAsia" w:ascii="宋体" w:hAnsi="宋体"/>
          <w:kern w:val="0"/>
          <w:szCs w:val="20"/>
        </w:rPr>
        <w:t>地下室应测量室外地坪至地下室底板的高度，不同外置的地下室高度不一致时，应分别测量并在立面图中明确表示；</w:t>
      </w:r>
    </w:p>
    <w:p w14:paraId="14CE3452">
      <w:pPr>
        <w:numPr>
          <w:ilvl w:val="0"/>
          <w:numId w:val="61"/>
        </w:numPr>
        <w:adjustRightInd/>
        <w:spacing w:before="120" w:beforeLines="50" w:after="120" w:afterLines="50" w:line="240" w:lineRule="auto"/>
        <w:rPr>
          <w:rFonts w:ascii="宋体" w:hAnsi="宋体"/>
          <w:color w:val="FF0000"/>
          <w:kern w:val="0"/>
          <w:szCs w:val="20"/>
        </w:rPr>
      </w:pPr>
      <w:r>
        <w:rPr>
          <w:rFonts w:hint="eastAsia" w:ascii="宋体" w:hAnsi="宋体"/>
          <w:kern w:val="0"/>
          <w:szCs w:val="20"/>
        </w:rPr>
        <w:t>地下室各层结构厚度宜实测，覆土部分厚度宜实测；</w:t>
      </w:r>
    </w:p>
    <w:p w14:paraId="04534CCB">
      <w:pPr>
        <w:pStyle w:val="240"/>
        <w:numPr>
          <w:ilvl w:val="0"/>
          <w:numId w:val="61"/>
        </w:numPr>
        <w:spacing w:before="120" w:beforeLines="50" w:after="120" w:afterLines="50"/>
        <w:ind w:firstLineChars="0"/>
        <w:rPr>
          <w:rFonts w:ascii="宋体" w:hAnsi="宋体"/>
          <w:kern w:val="0"/>
          <w:szCs w:val="20"/>
        </w:rPr>
      </w:pPr>
      <w:r>
        <w:rPr>
          <w:rFonts w:hint="eastAsia" w:ascii="宋体" w:hAnsi="宋体"/>
          <w:kern w:val="0"/>
          <w:szCs w:val="20"/>
        </w:rPr>
        <w:t>建筑所在地有地方高度测量要求的按所在地要求测量。</w:t>
      </w:r>
    </w:p>
    <w:p w14:paraId="396795E3">
      <w:pPr>
        <w:pStyle w:val="69"/>
        <w:spacing w:before="120" w:after="120"/>
        <w:ind w:left="0"/>
        <w:rPr>
          <w:rFonts w:ascii="宋体" w:hAnsi="宋体" w:eastAsia="宋体"/>
        </w:rPr>
      </w:pPr>
      <w:r>
        <w:rPr>
          <w:rFonts w:hint="eastAsia" w:ascii="宋体" w:hAnsi="宋体" w:eastAsia="宋体"/>
        </w:rPr>
        <w:t>测定超高层建筑角点坐标应与规划部门审批的建筑设计总平面图一致，矩形建筑宜测设其外围四角坐标，圆形建筑宜测设其中心点、圆弧的起点、终点及圆弧顶点，特殊异形超高层可采用三维激光扫描技术和无人机摄影测量技术，无人机摄影测量采集精度及方法应符合 CH/T 3025 的相关要求。</w:t>
      </w:r>
    </w:p>
    <w:p w14:paraId="141748EC">
      <w:pPr>
        <w:pStyle w:val="109"/>
        <w:spacing w:before="120" w:after="120"/>
        <w:ind w:left="0"/>
      </w:pPr>
      <w:bookmarkStart w:id="124" w:name="_Toc203213068"/>
      <w:r>
        <w:rPr>
          <w:rFonts w:hint="eastAsia"/>
        </w:rPr>
        <w:t>测量成果</w:t>
      </w:r>
      <w:bookmarkEnd w:id="124"/>
    </w:p>
    <w:p w14:paraId="2F38C608">
      <w:pPr>
        <w:pStyle w:val="69"/>
        <w:spacing w:before="120" w:after="120"/>
        <w:ind w:left="0"/>
        <w:rPr>
          <w:rFonts w:ascii="宋体" w:hAnsi="宋体" w:eastAsia="宋体"/>
        </w:rPr>
      </w:pPr>
      <w:r>
        <w:rPr>
          <w:rFonts w:hint="eastAsia" w:ascii="宋体" w:hAnsi="宋体" w:eastAsia="宋体"/>
        </w:rPr>
        <w:t>竣工总图应标注规划用地红线、建筑名称（或建筑编号）、层数、首层室内地坪高程、建筑总高度、出入口位置等内容。</w:t>
      </w:r>
    </w:p>
    <w:p w14:paraId="1F27933D">
      <w:pPr>
        <w:pStyle w:val="69"/>
        <w:spacing w:before="120" w:after="120"/>
        <w:ind w:left="0"/>
        <w:rPr>
          <w:rFonts w:ascii="宋体" w:hAnsi="宋体" w:eastAsia="宋体"/>
        </w:rPr>
      </w:pPr>
      <w:r>
        <w:rPr>
          <w:rFonts w:hint="eastAsia" w:ascii="宋体" w:hAnsi="宋体" w:eastAsia="宋体"/>
        </w:rPr>
        <w:t>竣工测量工作完成后，应整理测绘成果资料形成档案，成果资料宜包括下列资料：</w:t>
      </w:r>
    </w:p>
    <w:p w14:paraId="419EB8BD">
      <w:pPr>
        <w:numPr>
          <w:ilvl w:val="0"/>
          <w:numId w:val="62"/>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成果封面及目录；</w:t>
      </w:r>
    </w:p>
    <w:p w14:paraId="7110F0E0">
      <w:pPr>
        <w:numPr>
          <w:ilvl w:val="0"/>
          <w:numId w:val="62"/>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规划文件及附图；</w:t>
      </w:r>
    </w:p>
    <w:p w14:paraId="70923FF1">
      <w:pPr>
        <w:numPr>
          <w:ilvl w:val="0"/>
          <w:numId w:val="62"/>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竣工测量成果报告；</w:t>
      </w:r>
    </w:p>
    <w:p w14:paraId="58527E7E">
      <w:pPr>
        <w:numPr>
          <w:ilvl w:val="0"/>
          <w:numId w:val="62"/>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工作说明及略图；</w:t>
      </w:r>
    </w:p>
    <w:p w14:paraId="58741D0F">
      <w:pPr>
        <w:numPr>
          <w:ilvl w:val="0"/>
          <w:numId w:val="62"/>
        </w:numPr>
        <w:adjustRightInd/>
        <w:spacing w:before="120" w:beforeLines="50" w:after="120" w:afterLines="50" w:line="24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外业观测手薄及现场照片。</w:t>
      </w:r>
    </w:p>
    <w:bookmarkEnd w:id="20"/>
    <w:p w14:paraId="6E76BE1A">
      <w:pPr>
        <w:pStyle w:val="202"/>
      </w:pPr>
      <w:bookmarkStart w:id="125" w:name="BookMark5"/>
    </w:p>
    <w:p w14:paraId="5678AC1E">
      <w:pPr>
        <w:pStyle w:val="203"/>
      </w:pPr>
    </w:p>
    <w:p w14:paraId="048F9E14">
      <w:pPr>
        <w:pStyle w:val="202"/>
      </w:pPr>
    </w:p>
    <w:p w14:paraId="36D2828A">
      <w:pPr>
        <w:pStyle w:val="203"/>
      </w:pPr>
    </w:p>
    <w:p w14:paraId="41E84646">
      <w:pPr>
        <w:pStyle w:val="202"/>
      </w:pPr>
    </w:p>
    <w:p w14:paraId="01C1FA21">
      <w:pPr>
        <w:pStyle w:val="203"/>
      </w:pPr>
    </w:p>
    <w:bookmarkEnd w:id="125"/>
    <w:p w14:paraId="557AE624">
      <w:pPr>
        <w:widowControl/>
        <w:adjustRightInd/>
        <w:spacing w:line="240" w:lineRule="auto"/>
        <w:jc w:val="left"/>
        <w:rPr>
          <w:rFonts w:ascii="黑体" w:eastAsia="黑体"/>
          <w:spacing w:val="105"/>
          <w:kern w:val="0"/>
        </w:rPr>
      </w:pPr>
      <w:bookmarkStart w:id="126" w:name="BookMark6"/>
      <w:r>
        <w:rPr>
          <w:spacing w:val="105"/>
        </w:rPr>
        <w:br w:type="page"/>
      </w:r>
    </w:p>
    <w:p w14:paraId="222B9F34">
      <w:pPr>
        <w:pStyle w:val="67"/>
        <w:spacing w:after="120"/>
      </w:pPr>
      <w:bookmarkStart w:id="127" w:name="_Toc203213069"/>
      <w:r>
        <w:rPr>
          <w:rFonts w:hint="eastAsia"/>
        </w:rPr>
        <w:t>参考文献</w:t>
      </w:r>
      <w:bookmarkEnd w:id="127"/>
    </w:p>
    <w:bookmarkEnd w:id="126"/>
    <w:p w14:paraId="37835959">
      <w:pPr>
        <w:pStyle w:val="234"/>
        <w:spacing w:before="120" w:beforeLines="50" w:after="120" w:afterLines="50"/>
        <w:ind w:firstLine="420"/>
      </w:pPr>
      <w:bookmarkStart w:id="128" w:name="BookMark8"/>
      <w:r>
        <w:rPr>
          <w:rFonts w:hint="eastAsia"/>
        </w:rPr>
        <w:t>[</w:t>
      </w:r>
      <w:r>
        <w:t>1</w:t>
      </w:r>
      <w:r>
        <w:rPr>
          <w:rFonts w:hint="eastAsia"/>
        </w:rPr>
        <w:t>] GB/T 12897  国家一、二等水准测量规范</w:t>
      </w:r>
    </w:p>
    <w:p w14:paraId="454EBC63">
      <w:pPr>
        <w:pStyle w:val="234"/>
        <w:spacing w:before="120" w:beforeLines="50" w:after="120" w:afterLines="50"/>
        <w:ind w:firstLine="420"/>
      </w:pPr>
      <w:r>
        <w:rPr>
          <w:rFonts w:hint="eastAsia"/>
        </w:rPr>
        <w:t>[</w:t>
      </w:r>
      <w:r>
        <w:t>2</w:t>
      </w:r>
      <w:r>
        <w:rPr>
          <w:rFonts w:hint="eastAsia"/>
        </w:rPr>
        <w:t>] GB/T</w:t>
      </w:r>
      <w:r>
        <w:t xml:space="preserve"> </w:t>
      </w:r>
      <w:r>
        <w:rPr>
          <w:rFonts w:hint="eastAsia"/>
        </w:rPr>
        <w:t>24356  测绘成果质量检查与验收</w:t>
      </w:r>
    </w:p>
    <w:p w14:paraId="1E41218B">
      <w:pPr>
        <w:pStyle w:val="234"/>
        <w:spacing w:before="120" w:beforeLines="50" w:after="120" w:afterLines="50"/>
        <w:ind w:firstLine="420"/>
      </w:pPr>
      <w:r>
        <w:rPr>
          <w:rFonts w:hint="eastAsia"/>
        </w:rPr>
        <w:t>[</w:t>
      </w:r>
      <w:r>
        <w:t>3</w:t>
      </w:r>
      <w:r>
        <w:rPr>
          <w:rFonts w:hint="eastAsia"/>
        </w:rPr>
        <w:t>]</w:t>
      </w:r>
      <w:r>
        <w:t xml:space="preserve"> </w:t>
      </w:r>
      <w:r>
        <w:rPr>
          <w:rFonts w:hint="eastAsia"/>
        </w:rPr>
        <w:t xml:space="preserve">GB/T 35641 </w:t>
      </w:r>
      <w:r>
        <w:t xml:space="preserve"> </w:t>
      </w:r>
      <w:r>
        <w:rPr>
          <w:rFonts w:hint="eastAsia"/>
        </w:rPr>
        <w:t>工程测绘基本技术要求</w:t>
      </w:r>
    </w:p>
    <w:p w14:paraId="26B26ECE">
      <w:pPr>
        <w:pStyle w:val="234"/>
        <w:spacing w:before="120" w:beforeLines="50" w:after="120" w:afterLines="50"/>
        <w:ind w:firstLine="420"/>
      </w:pPr>
      <w:r>
        <w:rPr>
          <w:rFonts w:hint="eastAsia"/>
        </w:rPr>
        <w:t>[</w:t>
      </w:r>
      <w:r>
        <w:t xml:space="preserve">4] </w:t>
      </w:r>
      <w:r>
        <w:rPr>
          <w:rFonts w:hint="eastAsia"/>
        </w:rPr>
        <w:t>GB</w:t>
      </w:r>
      <w:r>
        <w:t xml:space="preserve"> </w:t>
      </w:r>
      <w:r>
        <w:rPr>
          <w:rFonts w:hint="eastAsia"/>
        </w:rPr>
        <w:t>50204</w:t>
      </w:r>
      <w:r>
        <w:t xml:space="preserve">  </w:t>
      </w:r>
      <w:r>
        <w:rPr>
          <w:rFonts w:hint="eastAsia"/>
        </w:rPr>
        <w:t>混凝土结构工程施工质量验收规范</w:t>
      </w:r>
    </w:p>
    <w:p w14:paraId="4B26E3F3">
      <w:pPr>
        <w:pStyle w:val="234"/>
        <w:spacing w:before="120" w:beforeLines="50" w:after="120" w:afterLines="50"/>
        <w:ind w:firstLine="420"/>
      </w:pPr>
      <w:r>
        <w:t xml:space="preserve">[5] </w:t>
      </w:r>
      <w:r>
        <w:rPr>
          <w:rFonts w:hint="eastAsia"/>
        </w:rPr>
        <w:t>GB 50210</w:t>
      </w:r>
      <w:r>
        <w:t xml:space="preserve">  </w:t>
      </w:r>
      <w:r>
        <w:rPr>
          <w:rFonts w:hint="eastAsia"/>
        </w:rPr>
        <w:t>建筑装饰装修工程质量验收标准</w:t>
      </w:r>
    </w:p>
    <w:p w14:paraId="64AB916F">
      <w:pPr>
        <w:pStyle w:val="234"/>
        <w:spacing w:before="120" w:beforeLines="50" w:after="120" w:afterLines="50"/>
        <w:ind w:firstLine="420"/>
      </w:pPr>
      <w:r>
        <w:t xml:space="preserve">[6] </w:t>
      </w:r>
      <w:r>
        <w:rPr>
          <w:rFonts w:hint="eastAsia"/>
        </w:rPr>
        <w:t>GB</w:t>
      </w:r>
      <w:r>
        <w:t xml:space="preserve"> </w:t>
      </w:r>
      <w:r>
        <w:rPr>
          <w:rFonts w:hint="eastAsia"/>
        </w:rPr>
        <w:t>50231</w:t>
      </w:r>
      <w:r>
        <w:t xml:space="preserve">  </w:t>
      </w:r>
      <w:r>
        <w:rPr>
          <w:rFonts w:hint="eastAsia"/>
        </w:rPr>
        <w:t>机械设备安装工程施工及验收通用规范</w:t>
      </w:r>
    </w:p>
    <w:p w14:paraId="3400B6FA">
      <w:pPr>
        <w:pStyle w:val="234"/>
        <w:spacing w:before="120" w:beforeLines="50" w:after="120" w:afterLines="50"/>
        <w:ind w:firstLine="420"/>
      </w:pPr>
      <w:r>
        <w:t xml:space="preserve">[7] </w:t>
      </w:r>
      <w:r>
        <w:rPr>
          <w:rFonts w:hint="eastAsia"/>
        </w:rPr>
        <w:t>GB 50310</w:t>
      </w:r>
      <w:r>
        <w:t xml:space="preserve">  </w:t>
      </w:r>
      <w:r>
        <w:rPr>
          <w:rFonts w:hint="eastAsia"/>
        </w:rPr>
        <w:t>电梯工程施工质量验收规范</w:t>
      </w:r>
    </w:p>
    <w:p w14:paraId="0C8C88B5">
      <w:pPr>
        <w:pStyle w:val="234"/>
        <w:spacing w:before="120" w:beforeLines="50" w:after="120" w:afterLines="50"/>
        <w:ind w:firstLine="420"/>
      </w:pPr>
      <w:r>
        <w:rPr>
          <w:rFonts w:hint="eastAsia"/>
        </w:rPr>
        <w:t>[</w:t>
      </w:r>
      <w:r>
        <w:t>8</w:t>
      </w:r>
      <w:r>
        <w:rPr>
          <w:rFonts w:hint="eastAsia"/>
        </w:rPr>
        <w:t>]</w:t>
      </w:r>
      <w:r>
        <w:t xml:space="preserve"> GB 55018  </w:t>
      </w:r>
      <w:r>
        <w:rPr>
          <w:rFonts w:hint="eastAsia"/>
        </w:rPr>
        <w:t>工程测量通用规范</w:t>
      </w:r>
    </w:p>
    <w:p w14:paraId="7C6C817A">
      <w:pPr>
        <w:pStyle w:val="234"/>
        <w:spacing w:before="120" w:beforeLines="50" w:after="120" w:afterLines="50"/>
        <w:ind w:firstLine="420"/>
      </w:pPr>
      <w:r>
        <w:rPr>
          <w:rFonts w:hint="eastAsia"/>
        </w:rPr>
        <w:t>[</w:t>
      </w:r>
      <w:r>
        <w:t>9</w:t>
      </w:r>
      <w:r>
        <w:rPr>
          <w:rFonts w:hint="eastAsia"/>
        </w:rPr>
        <w:t>]</w:t>
      </w:r>
      <w:r>
        <w:t xml:space="preserve"> </w:t>
      </w:r>
      <w:r>
        <w:rPr>
          <w:rFonts w:hint="eastAsia"/>
        </w:rPr>
        <w:t>JGJ 3  高层建筑混凝土结构技术规程</w:t>
      </w:r>
    </w:p>
    <w:p w14:paraId="251EC95A">
      <w:pPr>
        <w:pStyle w:val="234"/>
        <w:spacing w:before="120" w:beforeLines="50" w:after="120" w:afterLines="50"/>
        <w:ind w:firstLine="420"/>
      </w:pPr>
      <w:r>
        <w:rPr>
          <w:rFonts w:hint="eastAsia"/>
        </w:rPr>
        <w:t>[</w:t>
      </w:r>
      <w:r>
        <w:t>10]</w:t>
      </w:r>
      <w:r>
        <w:rPr>
          <w:rFonts w:hint="eastAsia"/>
        </w:rPr>
        <w:t xml:space="preserve"> JGJ</w:t>
      </w:r>
      <w:r>
        <w:t xml:space="preserve"> </w:t>
      </w:r>
      <w:r>
        <w:rPr>
          <w:rFonts w:hint="eastAsia"/>
        </w:rPr>
        <w:t>102</w:t>
      </w:r>
      <w:r>
        <w:t xml:space="preserve">  </w:t>
      </w:r>
      <w:r>
        <w:rPr>
          <w:rFonts w:hint="eastAsia"/>
        </w:rPr>
        <w:t>玻璃幕墙工程技术规范</w:t>
      </w:r>
    </w:p>
    <w:p w14:paraId="348DEC5F">
      <w:pPr>
        <w:pStyle w:val="234"/>
        <w:spacing w:before="120" w:beforeLines="50" w:after="120" w:afterLines="50"/>
        <w:ind w:firstLine="420"/>
      </w:pPr>
      <w:r>
        <w:rPr>
          <w:rFonts w:hint="eastAsia"/>
        </w:rPr>
        <w:t>[</w:t>
      </w:r>
      <w:r>
        <w:t>11</w:t>
      </w:r>
      <w:r>
        <w:rPr>
          <w:rFonts w:hint="eastAsia"/>
        </w:rPr>
        <w:t>] JGJ/T 195  液压爬升模板工程技术标准</w:t>
      </w:r>
    </w:p>
    <w:p w14:paraId="7F715AB2">
      <w:pPr>
        <w:pStyle w:val="234"/>
        <w:spacing w:before="120" w:beforeLines="50" w:after="120" w:afterLines="50"/>
        <w:ind w:firstLine="420"/>
      </w:pPr>
      <w:r>
        <w:rPr>
          <w:rFonts w:hint="eastAsia"/>
        </w:rPr>
        <w:t>[</w:t>
      </w:r>
      <w:r>
        <w:t>12</w:t>
      </w:r>
      <w:r>
        <w:rPr>
          <w:rFonts w:hint="eastAsia"/>
        </w:rPr>
        <w:t xml:space="preserve">] </w:t>
      </w:r>
      <w:r>
        <w:rPr>
          <w:rFonts w:hint="eastAsia"/>
          <w:color w:val="000000" w:themeColor="text1"/>
          <w14:textFill>
            <w14:solidFill>
              <w14:schemeClr w14:val="tx1"/>
            </w14:solidFill>
          </w14:textFill>
        </w:rPr>
        <w:t xml:space="preserve">JGJ/T 408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建筑施工测量标准</w:t>
      </w:r>
    </w:p>
    <w:p w14:paraId="3DFC7094">
      <w:pPr>
        <w:pStyle w:val="60"/>
        <w:ind w:firstLine="0" w:firstLineChars="0"/>
        <w:jc w:val="center"/>
      </w:pPr>
      <w:r>
        <w:rPr>
          <w:rFonts w:hint="eastAsia"/>
        </w:rPr>
        <w:drawing>
          <wp:inline distT="0" distB="0" distL="0" distR="0">
            <wp:extent cx="1485900" cy="317500"/>
            <wp:effectExtent l="0" t="0" r="0" b="6350"/>
            <wp:docPr id="23692256" name="图片 1"/>
            <wp:cNvGraphicFramePr/>
            <a:graphic xmlns:a="http://schemas.openxmlformats.org/drawingml/2006/main">
              <a:graphicData uri="http://schemas.openxmlformats.org/drawingml/2006/picture">
                <pic:pic xmlns:pic="http://schemas.openxmlformats.org/drawingml/2006/picture">
                  <pic:nvPicPr>
                    <pic:cNvPr id="23692256" name="图片 1"/>
                    <pic:cNvPicPr/>
                  </pic:nvPicPr>
                  <pic:blipFill>
                    <a:blip r:embed="rId31">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28"/>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Ravie">
    <w:panose1 w:val="04040805050809020602"/>
    <w:charset w:val="00"/>
    <w:family w:val="decorative"/>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9656">
    <w:pPr>
      <w:pStyle w:val="19"/>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C71B9">
    <w:pPr>
      <w:pStyle w:val="19"/>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86368">
    <w:pPr>
      <w:pStyle w:val="56"/>
    </w:pPr>
    <w:r>
      <w:fldChar w:fldCharType="begin"/>
    </w:r>
    <w:r>
      <w:instrText xml:space="preserve">PAGE   \* MERGEFORMAT</w:instrText>
    </w:r>
    <w:r>
      <w:fldChar w:fldCharType="separate"/>
    </w:r>
    <w:r>
      <w:rPr>
        <w:lang w:val="zh-CN"/>
      </w:rPr>
      <w:t>26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FC8C4">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7F2A8">
    <w:pPr>
      <w:pStyle w:val="20"/>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58E67">
    <w:pPr>
      <w:pStyle w:val="65"/>
    </w:pPr>
    <w:r>
      <w:fldChar w:fldCharType="begin"/>
    </w:r>
    <w:r>
      <w:instrText xml:space="preserve"> STYLEREF  标准文件_文件编号  \* MERGEFORMAT </w:instrText>
    </w:r>
    <w:r>
      <w:fldChar w:fldCharType="separate"/>
    </w:r>
    <w:r>
      <w:t>CH/T XXXXX—XXXX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6B932">
    <w:pPr>
      <w:pStyle w:val="20"/>
      <w:jc w:val="right"/>
    </w:pPr>
    <w:r>
      <w:fldChar w:fldCharType="begin"/>
    </w:r>
    <w:r>
      <w:instrText xml:space="preserve"> STYLEREF  标准文件_文件编号  \* MERGEFORMAT </w:instrText>
    </w:r>
    <w:r>
      <w:fldChar w:fldCharType="separate"/>
    </w:r>
    <w:r>
      <w:t>CH/T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none"/>
      <w:pStyle w:val="241"/>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2837933"/>
    <w:multiLevelType w:val="multilevel"/>
    <w:tmpl w:val="02837933"/>
    <w:lvl w:ilvl="0" w:tentative="0">
      <w:start w:val="1"/>
      <w:numFmt w:val="decimal"/>
      <w:pStyle w:val="68"/>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3"/>
      <w:suff w:val="nothing"/>
      <w:lvlText w:val="%1%2.%3　"/>
      <w:lvlJc w:val="left"/>
      <w:pPr>
        <w:ind w:left="0" w:firstLine="0"/>
      </w:pPr>
    </w:lvl>
    <w:lvl w:ilvl="3" w:tentative="0">
      <w:start w:val="1"/>
      <w:numFmt w:val="decimal"/>
      <w:pStyle w:val="122"/>
      <w:suff w:val="nothing"/>
      <w:lvlText w:val="%1%2.%3.%4　"/>
      <w:lvlJc w:val="left"/>
      <w:pPr>
        <w:ind w:left="0" w:firstLine="0"/>
      </w:pPr>
    </w:lvl>
    <w:lvl w:ilvl="4" w:tentative="0">
      <w:start w:val="1"/>
      <w:numFmt w:val="decimal"/>
      <w:pStyle w:val="157"/>
      <w:suff w:val="nothing"/>
      <w:lvlText w:val="%1%2.%3.%4.%5　"/>
      <w:lvlJc w:val="left"/>
      <w:pPr>
        <w:ind w:left="0" w:firstLine="0"/>
      </w:pPr>
    </w:lvl>
    <w:lvl w:ilvl="5" w:tentative="0">
      <w:start w:val="1"/>
      <w:numFmt w:val="decimal"/>
      <w:pStyle w:val="159"/>
      <w:suff w:val="nothing"/>
      <w:lvlText w:val="%1%2.%3.%4.%5.%6　"/>
      <w:lvlJc w:val="left"/>
      <w:pPr>
        <w:ind w:left="0" w:firstLine="0"/>
      </w:pPr>
    </w:lvl>
    <w:lvl w:ilvl="6" w:tentative="0">
      <w:start w:val="1"/>
      <w:numFmt w:val="decimal"/>
      <w:pStyle w:val="162"/>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4"/>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3"/>
      <w:lvlText w:val="%1"/>
      <w:lvlJc w:val="left"/>
      <w:pPr>
        <w:ind w:left="425" w:hanging="425"/>
      </w:pPr>
      <w:rPr>
        <w:rFonts w:hint="eastAsia"/>
      </w:rPr>
    </w:lvl>
    <w:lvl w:ilvl="1" w:tentative="0">
      <w:start w:val="1"/>
      <w:numFmt w:val="decimal"/>
      <w:pStyle w:val="204"/>
      <w:suff w:val="nothing"/>
      <w:lvlText w:val="%10.%2 "/>
      <w:lvlJc w:val="left"/>
      <w:pPr>
        <w:ind w:left="0" w:firstLine="0"/>
      </w:pPr>
      <w:rPr>
        <w:rFonts w:hint="eastAsia" w:ascii="黑体" w:eastAsia="黑体" w:hAnsiTheme="minorHAnsi"/>
        <w:b w:val="0"/>
        <w:i w:val="0"/>
        <w:sz w:val="21"/>
      </w:rPr>
    </w:lvl>
    <w:lvl w:ilvl="2" w:tentative="0">
      <w:start w:val="1"/>
      <w:numFmt w:val="decimal"/>
      <w:pStyle w:val="205"/>
      <w:suff w:val="nothing"/>
      <w:lvlText w:val="%10.%2.%3 "/>
      <w:lvlJc w:val="left"/>
      <w:pPr>
        <w:ind w:left="0" w:firstLine="0"/>
      </w:pPr>
      <w:rPr>
        <w:rFonts w:hint="eastAsia" w:ascii="黑体" w:eastAsia="黑体" w:hAnsiTheme="minorHAnsi"/>
        <w:b w:val="0"/>
        <w:i w:val="0"/>
        <w:sz w:val="21"/>
      </w:rPr>
    </w:lvl>
    <w:lvl w:ilvl="3" w:tentative="0">
      <w:start w:val="1"/>
      <w:numFmt w:val="decimal"/>
      <w:pStyle w:val="206"/>
      <w:suff w:val="nothing"/>
      <w:lvlText w:val="%10.%2.%3.%4 "/>
      <w:lvlJc w:val="left"/>
      <w:pPr>
        <w:ind w:left="0" w:firstLine="0"/>
      </w:pPr>
      <w:rPr>
        <w:rFonts w:hint="eastAsia" w:ascii="黑体" w:eastAsia="黑体" w:hAnsiTheme="minorHAnsi"/>
        <w:b w:val="0"/>
        <w:i w:val="0"/>
        <w:sz w:val="21"/>
      </w:rPr>
    </w:lvl>
    <w:lvl w:ilvl="4" w:tentative="0">
      <w:start w:val="1"/>
      <w:numFmt w:val="decimal"/>
      <w:pStyle w:val="207"/>
      <w:suff w:val="nothing"/>
      <w:lvlText w:val="%10.%2.%3.%4.%5 "/>
      <w:lvlJc w:val="left"/>
      <w:pPr>
        <w:ind w:left="0" w:firstLine="0"/>
      </w:pPr>
      <w:rPr>
        <w:rFonts w:hint="eastAsia" w:ascii="黑体" w:eastAsia="黑体" w:hAnsiTheme="minorHAnsi"/>
        <w:b w:val="0"/>
        <w:i w:val="0"/>
        <w:sz w:val="21"/>
      </w:rPr>
    </w:lvl>
    <w:lvl w:ilvl="5" w:tentative="0">
      <w:start w:val="1"/>
      <w:numFmt w:val="decimal"/>
      <w:pStyle w:val="208"/>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5"/>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304F12"/>
    <w:multiLevelType w:val="multilevel"/>
    <w:tmpl w:val="0B304F12"/>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0BDC1670"/>
    <w:multiLevelType w:val="multilevel"/>
    <w:tmpl w:val="0BDC1670"/>
    <w:lvl w:ilvl="0" w:tentative="0">
      <w:start w:val="1"/>
      <w:numFmt w:val="decimal"/>
      <w:pStyle w:val="71"/>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D051F45"/>
    <w:multiLevelType w:val="multilevel"/>
    <w:tmpl w:val="0D051F45"/>
    <w:lvl w:ilvl="0" w:tentative="0">
      <w:start w:val="1"/>
      <w:numFmt w:val="lowerRoman"/>
      <w:pStyle w:val="173"/>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9">
    <w:nsid w:val="0D1A5EF2"/>
    <w:multiLevelType w:val="multilevel"/>
    <w:tmpl w:val="0D1A5EF2"/>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12FA3A82"/>
    <w:multiLevelType w:val="multilevel"/>
    <w:tmpl w:val="12FA3A82"/>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142324A1"/>
    <w:multiLevelType w:val="multilevel"/>
    <w:tmpl w:val="142324A1"/>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1AD20F90"/>
    <w:multiLevelType w:val="multilevel"/>
    <w:tmpl w:val="1AD20F90"/>
    <w:lvl w:ilvl="0" w:tentative="0">
      <w:start w:val="1"/>
      <w:numFmt w:val="none"/>
      <w:pStyle w:val="114"/>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1AF15012"/>
    <w:multiLevelType w:val="multilevel"/>
    <w:tmpl w:val="1AF15012"/>
    <w:lvl w:ilvl="0" w:tentative="0">
      <w:start w:val="1"/>
      <w:numFmt w:val="upperLetter"/>
      <w:pStyle w:val="89"/>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1C3B305B"/>
    <w:multiLevelType w:val="multilevel"/>
    <w:tmpl w:val="1C3B305B"/>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1EAA1992"/>
    <w:multiLevelType w:val="multilevel"/>
    <w:tmpl w:val="1EAA1992"/>
    <w:lvl w:ilvl="0" w:tentative="0">
      <w:start w:val="1"/>
      <w:numFmt w:val="none"/>
      <w:pStyle w:val="96"/>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6">
    <w:nsid w:val="1EB8428C"/>
    <w:multiLevelType w:val="multilevel"/>
    <w:tmpl w:val="1EB8428C"/>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29B3670D"/>
    <w:multiLevelType w:val="multilevel"/>
    <w:tmpl w:val="29B3670D"/>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2C5917C3"/>
    <w:multiLevelType w:val="multilevel"/>
    <w:tmpl w:val="2C5917C3"/>
    <w:lvl w:ilvl="0" w:tentative="0">
      <w:start w:val="1"/>
      <w:numFmt w:val="none"/>
      <w:pStyle w:val="136"/>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1"/>
      <w:lvlText w:val=""/>
      <w:lvlJc w:val="left"/>
      <w:pPr>
        <w:ind w:left="851" w:hanging="431"/>
      </w:pPr>
      <w:rPr>
        <w:rFonts w:hint="default" w:ascii="Symbol" w:hAnsi="Symbol"/>
        <w:sz w:val="21"/>
      </w:rPr>
    </w:lvl>
    <w:lvl w:ilvl="2" w:tentative="0">
      <w:start w:val="1"/>
      <w:numFmt w:val="bullet"/>
      <w:pStyle w:val="176"/>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9">
    <w:nsid w:val="2DDB54CD"/>
    <w:multiLevelType w:val="multilevel"/>
    <w:tmpl w:val="2DDB54CD"/>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32F04FB2"/>
    <w:multiLevelType w:val="multilevel"/>
    <w:tmpl w:val="32F04FB2"/>
    <w:lvl w:ilvl="0" w:tentative="0">
      <w:start w:val="1"/>
      <w:numFmt w:val="lowerLetter"/>
      <w:pStyle w:val="105"/>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1">
    <w:nsid w:val="349B5835"/>
    <w:multiLevelType w:val="multilevel"/>
    <w:tmpl w:val="349B5835"/>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371D05B8"/>
    <w:multiLevelType w:val="multilevel"/>
    <w:tmpl w:val="371D05B8"/>
    <w:lvl w:ilvl="0" w:tentative="0">
      <w:start w:val="1"/>
      <w:numFmt w:val="lowerLetter"/>
      <w:lvlText w:val="%1)"/>
      <w:lvlJc w:val="left"/>
      <w:pPr>
        <w:ind w:left="840" w:hanging="420"/>
      </w:pPr>
      <w:rPr>
        <w:rFonts w:hint="default" w:ascii="黑体" w:hAnsi="黑体" w:eastAsia="黑体" w:cs="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375E3D01"/>
    <w:multiLevelType w:val="multilevel"/>
    <w:tmpl w:val="375E3D01"/>
    <w:lvl w:ilvl="0" w:tentative="0">
      <w:start w:val="1"/>
      <w:numFmt w:val="lowerLetter"/>
      <w:lvlText w:val="%1)"/>
      <w:lvlJc w:val="left"/>
      <w:pPr>
        <w:ind w:left="840" w:hanging="420"/>
      </w:pPr>
      <w:rPr>
        <w:rFonts w:hint="default" w:ascii="黑体" w:hAnsi="黑体" w:eastAsia="黑体" w:cs="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37766278"/>
    <w:multiLevelType w:val="multilevel"/>
    <w:tmpl w:val="37766278"/>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3914618A"/>
    <w:multiLevelType w:val="multilevel"/>
    <w:tmpl w:val="3914618A"/>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39F2415B"/>
    <w:multiLevelType w:val="multilevel"/>
    <w:tmpl w:val="39F2415B"/>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3B5E361A"/>
    <w:multiLevelType w:val="multilevel"/>
    <w:tmpl w:val="3B5E361A"/>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44C50F90"/>
    <w:multiLevelType w:val="multilevel"/>
    <w:tmpl w:val="44C50F90"/>
    <w:lvl w:ilvl="0" w:tentative="0">
      <w:start w:val="1"/>
      <w:numFmt w:val="lowerLetter"/>
      <w:pStyle w:val="178"/>
      <w:lvlText w:val="%1)"/>
      <w:lvlJc w:val="left"/>
      <w:pPr>
        <w:tabs>
          <w:tab w:val="left" w:pos="851"/>
        </w:tabs>
        <w:ind w:left="851" w:hanging="426"/>
      </w:pPr>
      <w:rPr>
        <w:rFonts w:hint="eastAsia" w:ascii="宋体" w:hAnsi="Times New Roman" w:eastAsia="宋体"/>
        <w:sz w:val="21"/>
      </w:rPr>
    </w:lvl>
    <w:lvl w:ilvl="1" w:tentative="0">
      <w:start w:val="1"/>
      <w:numFmt w:val="decimal"/>
      <w:pStyle w:val="113"/>
      <w:lvlText w:val="%2)"/>
      <w:lvlJc w:val="left"/>
      <w:pPr>
        <w:tabs>
          <w:tab w:val="left" w:pos="1276"/>
        </w:tabs>
        <w:ind w:left="1276" w:hanging="425"/>
      </w:pPr>
      <w:rPr>
        <w:rFonts w:hint="eastAsia" w:ascii="宋体" w:hAnsi="Times New Roman" w:eastAsia="宋体"/>
        <w:sz w:val="21"/>
      </w:rPr>
    </w:lvl>
    <w:lvl w:ilvl="2" w:tentative="0">
      <w:start w:val="1"/>
      <w:numFmt w:val="decimal"/>
      <w:pStyle w:val="121"/>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9">
    <w:nsid w:val="48802D1C"/>
    <w:multiLevelType w:val="multilevel"/>
    <w:tmpl w:val="48802D1C"/>
    <w:lvl w:ilvl="0" w:tentative="0">
      <w:start w:val="1"/>
      <w:numFmt w:val="upperLetter"/>
      <w:pStyle w:val="202"/>
      <w:lvlText w:val="%1"/>
      <w:lvlJc w:val="left"/>
      <w:pPr>
        <w:ind w:left="420" w:hanging="420"/>
      </w:pPr>
      <w:rPr>
        <w:rFonts w:hint="eastAsia"/>
      </w:rPr>
    </w:lvl>
    <w:lvl w:ilvl="1" w:tentative="0">
      <w:start w:val="1"/>
      <w:numFmt w:val="decimal"/>
      <w:pStyle w:val="87"/>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
    <w:nsid w:val="4B512D06"/>
    <w:multiLevelType w:val="multilevel"/>
    <w:tmpl w:val="4B512D06"/>
    <w:lvl w:ilvl="0" w:tentative="0">
      <w:start w:val="1"/>
      <w:numFmt w:val="lowerLetter"/>
      <w:lvlText w:val="%1)"/>
      <w:lvlJc w:val="left"/>
      <w:pPr>
        <w:ind w:left="840" w:hanging="420"/>
      </w:pPr>
      <w:rPr>
        <w:rFonts w:hint="default" w:ascii="黑体" w:hAnsi="黑体" w:eastAsia="黑体" w:cs="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1">
    <w:nsid w:val="4B733A5F"/>
    <w:multiLevelType w:val="multilevel"/>
    <w:tmpl w:val="4B733A5F"/>
    <w:lvl w:ilvl="0" w:tentative="0">
      <w:start w:val="1"/>
      <w:numFmt w:val="decimal"/>
      <w:pStyle w:val="187"/>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2">
    <w:nsid w:val="4E5D0534"/>
    <w:multiLevelType w:val="multilevel"/>
    <w:tmpl w:val="4E5D0534"/>
    <w:lvl w:ilvl="0" w:tentative="0">
      <w:start w:val="1"/>
      <w:numFmt w:val="decimal"/>
      <w:pStyle w:val="120"/>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501E5790"/>
    <w:multiLevelType w:val="multilevel"/>
    <w:tmpl w:val="501E5790"/>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54632751"/>
    <w:multiLevelType w:val="multilevel"/>
    <w:tmpl w:val="54632751"/>
    <w:lvl w:ilvl="0" w:tentative="0">
      <w:start w:val="1"/>
      <w:numFmt w:val="none"/>
      <w:pStyle w:val="97"/>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35">
    <w:nsid w:val="557C2AF5"/>
    <w:multiLevelType w:val="multilevel"/>
    <w:tmpl w:val="557C2AF5"/>
    <w:lvl w:ilvl="0" w:tentative="0">
      <w:start w:val="1"/>
      <w:numFmt w:val="decimal"/>
      <w:pStyle w:val="118"/>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6">
    <w:nsid w:val="5603797C"/>
    <w:multiLevelType w:val="multilevel"/>
    <w:tmpl w:val="5603797C"/>
    <w:lvl w:ilvl="0" w:tentative="0">
      <w:start w:val="1"/>
      <w:numFmt w:val="upperLetter"/>
      <w:pStyle w:val="203"/>
      <w:suff w:val="space"/>
      <w:lvlText w:val="%1"/>
      <w:lvlJc w:val="left"/>
      <w:pPr>
        <w:ind w:left="425" w:hanging="425"/>
      </w:pPr>
      <w:rPr>
        <w:rFonts w:hint="eastAsia"/>
      </w:rPr>
    </w:lvl>
    <w:lvl w:ilvl="1" w:tentative="0">
      <w:start w:val="1"/>
      <w:numFmt w:val="decimal"/>
      <w:pStyle w:val="81"/>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7">
    <w:nsid w:val="564D2089"/>
    <w:multiLevelType w:val="multilevel"/>
    <w:tmpl w:val="564D2089"/>
    <w:lvl w:ilvl="0" w:tentative="0">
      <w:start w:val="1"/>
      <w:numFmt w:val="none"/>
      <w:pStyle w:val="115"/>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8">
    <w:nsid w:val="56803A60"/>
    <w:multiLevelType w:val="multilevel"/>
    <w:tmpl w:val="56803A60"/>
    <w:lvl w:ilvl="0" w:tentative="0">
      <w:start w:val="1"/>
      <w:numFmt w:val="lowerLetter"/>
      <w:lvlText w:val="%1)"/>
      <w:lvlJc w:val="left"/>
      <w:pPr>
        <w:ind w:left="840" w:hanging="420"/>
      </w:pPr>
      <w:rPr>
        <w:rFonts w:ascii="黑体" w:hAnsi="黑体" w:eastAsia="黑体"/>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9">
    <w:nsid w:val="59251885"/>
    <w:multiLevelType w:val="multilevel"/>
    <w:tmpl w:val="59251885"/>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0">
    <w:nsid w:val="5B977D6A"/>
    <w:multiLevelType w:val="multilevel"/>
    <w:tmpl w:val="5B977D6A"/>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1">
    <w:nsid w:val="644622F9"/>
    <w:multiLevelType w:val="multilevel"/>
    <w:tmpl w:val="644622F9"/>
    <w:lvl w:ilvl="0" w:tentative="0">
      <w:start w:val="1"/>
      <w:numFmt w:val="upp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42">
    <w:nsid w:val="646260FA"/>
    <w:multiLevelType w:val="multilevel"/>
    <w:tmpl w:val="646260FA"/>
    <w:lvl w:ilvl="0" w:tentative="0">
      <w:start w:val="1"/>
      <w:numFmt w:val="decimal"/>
      <w:pStyle w:val="116"/>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3">
    <w:nsid w:val="654A26C9"/>
    <w:multiLevelType w:val="multilevel"/>
    <w:tmpl w:val="654A26C9"/>
    <w:lvl w:ilvl="0" w:tentative="0">
      <w:start w:val="1"/>
      <w:numFmt w:val="none"/>
      <w:pStyle w:val="193"/>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44">
    <w:nsid w:val="657D3FBC"/>
    <w:multiLevelType w:val="multilevel"/>
    <w:tmpl w:val="657D3FBC"/>
    <w:lvl w:ilvl="0" w:tentative="0">
      <w:start w:val="1"/>
      <w:numFmt w:val="upperLetter"/>
      <w:pStyle w:val="80"/>
      <w:suff w:val="nothing"/>
      <w:lvlText w:val="附录%1"/>
      <w:lvlJc w:val="left"/>
      <w:pPr>
        <w:ind w:left="0" w:firstLine="0"/>
      </w:pPr>
      <w:rPr>
        <w:rFonts w:hint="eastAsia"/>
        <w:spacing w:val="100"/>
      </w:rPr>
    </w:lvl>
    <w:lvl w:ilvl="1" w:tentative="0">
      <w:start w:val="1"/>
      <w:numFmt w:val="decimal"/>
      <w:pStyle w:val="82"/>
      <w:suff w:val="nothing"/>
      <w:lvlText w:val="%1.%2　"/>
      <w:lvlJc w:val="left"/>
      <w:pPr>
        <w:ind w:left="0" w:firstLine="0"/>
      </w:pPr>
      <w:rPr>
        <w:rFonts w:hint="eastAsia" w:ascii="黑体" w:eastAsia="黑体"/>
        <w:b w:val="0"/>
        <w:i w:val="0"/>
        <w:sz w:val="21"/>
      </w:rPr>
    </w:lvl>
    <w:lvl w:ilvl="2" w:tentative="0">
      <w:start w:val="1"/>
      <w:numFmt w:val="decimal"/>
      <w:pStyle w:val="83"/>
      <w:suff w:val="nothing"/>
      <w:lvlText w:val="%1.%2.%3　"/>
      <w:lvlJc w:val="left"/>
      <w:pPr>
        <w:ind w:left="0" w:firstLine="0"/>
      </w:pPr>
      <w:rPr>
        <w:rFonts w:hint="eastAsia" w:ascii="黑体" w:eastAsia="黑体"/>
        <w:b w:val="0"/>
        <w:i w:val="0"/>
        <w:sz w:val="21"/>
      </w:rPr>
    </w:lvl>
    <w:lvl w:ilvl="3" w:tentative="0">
      <w:start w:val="1"/>
      <w:numFmt w:val="decimal"/>
      <w:pStyle w:val="85"/>
      <w:suff w:val="nothing"/>
      <w:lvlText w:val="%1.%2.%3.%4　"/>
      <w:lvlJc w:val="left"/>
      <w:pPr>
        <w:ind w:left="0" w:firstLine="0"/>
      </w:pPr>
      <w:rPr>
        <w:rFonts w:hint="eastAsia" w:ascii="黑体" w:eastAsia="黑体"/>
        <w:b w:val="0"/>
        <w:i w:val="0"/>
        <w:sz w:val="21"/>
      </w:rPr>
    </w:lvl>
    <w:lvl w:ilvl="4" w:tentative="0">
      <w:start w:val="1"/>
      <w:numFmt w:val="decimal"/>
      <w:pStyle w:val="86"/>
      <w:suff w:val="nothing"/>
      <w:lvlText w:val="%1.%2.%3.%4.%5　"/>
      <w:lvlJc w:val="left"/>
      <w:pPr>
        <w:ind w:left="0" w:firstLine="0"/>
      </w:pPr>
      <w:rPr>
        <w:rFonts w:hint="eastAsia" w:ascii="黑体" w:eastAsia="黑体"/>
        <w:b w:val="0"/>
        <w:i w:val="0"/>
        <w:sz w:val="21"/>
      </w:rPr>
    </w:lvl>
    <w:lvl w:ilvl="5" w:tentative="0">
      <w:start w:val="1"/>
      <w:numFmt w:val="decimal"/>
      <w:pStyle w:val="88"/>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5">
    <w:nsid w:val="67450417"/>
    <w:multiLevelType w:val="multilevel"/>
    <w:tmpl w:val="67450417"/>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6">
    <w:nsid w:val="68F664F8"/>
    <w:multiLevelType w:val="multilevel"/>
    <w:tmpl w:val="68F664F8"/>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7">
    <w:nsid w:val="69506ABF"/>
    <w:multiLevelType w:val="multilevel"/>
    <w:tmpl w:val="69506ABF"/>
    <w:lvl w:ilvl="0" w:tentative="0">
      <w:start w:val="1"/>
      <w:numFmt w:val="bullet"/>
      <w:pStyle w:val="192"/>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48">
    <w:nsid w:val="697573B2"/>
    <w:multiLevelType w:val="multilevel"/>
    <w:tmpl w:val="697573B2"/>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9">
    <w:nsid w:val="6A406ECF"/>
    <w:multiLevelType w:val="multilevel"/>
    <w:tmpl w:val="6A406ECF"/>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0">
    <w:nsid w:val="6CA41985"/>
    <w:multiLevelType w:val="multilevel"/>
    <w:tmpl w:val="6CA41985"/>
    <w:lvl w:ilvl="0" w:tentative="0">
      <w:start w:val="1"/>
      <w:numFmt w:val="decimal"/>
      <w:pStyle w:val="101"/>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1">
    <w:nsid w:val="6CE42AC1"/>
    <w:multiLevelType w:val="multilevel"/>
    <w:tmpl w:val="6CE42AC1"/>
    <w:lvl w:ilvl="0" w:tentative="0">
      <w:start w:val="1"/>
      <w:numFmt w:val="lowerLetter"/>
      <w:pStyle w:val="17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6CEA2025"/>
    <w:multiLevelType w:val="multilevel"/>
    <w:tmpl w:val="6CEA2025"/>
    <w:lvl w:ilvl="0" w:tentative="0">
      <w:start w:val="1"/>
      <w:numFmt w:val="none"/>
      <w:pStyle w:val="156"/>
      <w:suff w:val="nothing"/>
      <w:lvlText w:val="%1"/>
      <w:lvlJc w:val="left"/>
      <w:pPr>
        <w:ind w:left="0" w:firstLine="0"/>
      </w:pPr>
      <w:rPr>
        <w:rFonts w:hint="eastAsia"/>
      </w:rPr>
    </w:lvl>
    <w:lvl w:ilvl="1" w:tentative="0">
      <w:start w:val="1"/>
      <w:numFmt w:val="decimal"/>
      <w:pStyle w:val="108"/>
      <w:suff w:val="nothing"/>
      <w:lvlText w:val="%1%2　"/>
      <w:lvlJc w:val="left"/>
      <w:pPr>
        <w:ind w:left="0" w:firstLine="0"/>
      </w:pPr>
      <w:rPr>
        <w:rFonts w:hint="eastAsia" w:ascii="黑体" w:eastAsia="黑体"/>
        <w:b w:val="0"/>
        <w:i w:val="0"/>
        <w:color w:val="auto"/>
        <w:sz w:val="21"/>
      </w:rPr>
    </w:lvl>
    <w:lvl w:ilvl="2" w:tentative="0">
      <w:start w:val="1"/>
      <w:numFmt w:val="decimal"/>
      <w:pStyle w:val="109"/>
      <w:suff w:val="nothing"/>
      <w:lvlText w:val="%1%2.%3　"/>
      <w:lvlJc w:val="left"/>
      <w:pPr>
        <w:ind w:left="2836"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9"/>
      <w:suff w:val="nothing"/>
      <w:lvlText w:val="%1%2.%3.%4　"/>
      <w:lvlJc w:val="left"/>
      <w:pPr>
        <w:ind w:left="568"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pStyle w:val="102"/>
      <w:suff w:val="nothing"/>
      <w:lvlText w:val="%1%2.%3.%4.%5.%6　"/>
      <w:lvlJc w:val="left"/>
      <w:pPr>
        <w:ind w:left="0" w:firstLine="0"/>
      </w:pPr>
      <w:rPr>
        <w:rFonts w:hint="eastAsia" w:ascii="黑体" w:eastAsia="黑体"/>
        <w:b w:val="0"/>
        <w:i w:val="0"/>
        <w:sz w:val="21"/>
      </w:rPr>
    </w:lvl>
    <w:lvl w:ilvl="6" w:tentative="0">
      <w:start w:val="1"/>
      <w:numFmt w:val="decimal"/>
      <w:pStyle w:val="107"/>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3">
    <w:nsid w:val="6DBF04F4"/>
    <w:multiLevelType w:val="multilevel"/>
    <w:tmpl w:val="6DBF04F4"/>
    <w:lvl w:ilvl="0" w:tentative="0">
      <w:start w:val="1"/>
      <w:numFmt w:val="none"/>
      <w:pStyle w:val="183"/>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54">
    <w:nsid w:val="6DF35F19"/>
    <w:multiLevelType w:val="multilevel"/>
    <w:tmpl w:val="6DF35F19"/>
    <w:lvl w:ilvl="0" w:tentative="0">
      <w:start w:val="1"/>
      <w:numFmt w:val="decimal"/>
      <w:pStyle w:val="119"/>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55">
    <w:nsid w:val="6E185FB1"/>
    <w:multiLevelType w:val="multilevel"/>
    <w:tmpl w:val="6E185FB1"/>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6">
    <w:nsid w:val="6EAA3B6D"/>
    <w:multiLevelType w:val="multilevel"/>
    <w:tmpl w:val="6EAA3B6D"/>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7">
    <w:nsid w:val="76933334"/>
    <w:multiLevelType w:val="multilevel"/>
    <w:tmpl w:val="76933334"/>
    <w:lvl w:ilvl="0" w:tentative="0">
      <w:start w:val="1"/>
      <w:numFmt w:val="none"/>
      <w:pStyle w:val="143"/>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8">
    <w:nsid w:val="787D3109"/>
    <w:multiLevelType w:val="multilevel"/>
    <w:tmpl w:val="787D3109"/>
    <w:lvl w:ilvl="0" w:tentative="0">
      <w:start w:val="1"/>
      <w:numFmt w:val="lowerLetter"/>
      <w:lvlText w:val="%1)"/>
      <w:lvlJc w:val="left"/>
      <w:pPr>
        <w:ind w:left="840" w:hanging="420"/>
      </w:pPr>
      <w:rPr>
        <w:rFonts w:hint="default" w:ascii="黑体" w:hAnsi="黑体" w:eastAsia="黑体" w:cs="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9">
    <w:nsid w:val="7D2F4341"/>
    <w:multiLevelType w:val="multilevel"/>
    <w:tmpl w:val="7D2F4341"/>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0">
    <w:nsid w:val="7D6F4E34"/>
    <w:multiLevelType w:val="multilevel"/>
    <w:tmpl w:val="7D6F4E34"/>
    <w:lvl w:ilvl="0" w:tentative="0">
      <w:start w:val="1"/>
      <w:numFmt w:val="lowerLetter"/>
      <w:lvlText w:val="%1)"/>
      <w:lvlJc w:val="left"/>
      <w:pPr>
        <w:ind w:left="846" w:hanging="420"/>
      </w:pPr>
      <w:rPr>
        <w:rFonts w:ascii="黑体" w:hAnsi="黑体" w:eastAsia="黑体"/>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1">
    <w:nsid w:val="7F2E595D"/>
    <w:multiLevelType w:val="multilevel"/>
    <w:tmpl w:val="7F2E595D"/>
    <w:lvl w:ilvl="0" w:tentative="0">
      <w:start w:val="1"/>
      <w:numFmt w:val="lowerLetter"/>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52"/>
  </w:num>
  <w:num w:numId="3">
    <w:abstractNumId w:val="7"/>
  </w:num>
  <w:num w:numId="4">
    <w:abstractNumId w:val="44"/>
  </w:num>
  <w:num w:numId="5">
    <w:abstractNumId w:val="36"/>
  </w:num>
  <w:num w:numId="6">
    <w:abstractNumId w:val="29"/>
  </w:num>
  <w:num w:numId="7">
    <w:abstractNumId w:val="13"/>
  </w:num>
  <w:num w:numId="8">
    <w:abstractNumId w:val="4"/>
  </w:num>
  <w:num w:numId="9">
    <w:abstractNumId w:val="15"/>
  </w:num>
  <w:num w:numId="10">
    <w:abstractNumId w:val="34"/>
  </w:num>
  <w:num w:numId="11">
    <w:abstractNumId w:val="50"/>
  </w:num>
  <w:num w:numId="12">
    <w:abstractNumId w:val="20"/>
  </w:num>
  <w:num w:numId="13">
    <w:abstractNumId w:val="28"/>
  </w:num>
  <w:num w:numId="14">
    <w:abstractNumId w:val="12"/>
  </w:num>
  <w:num w:numId="15">
    <w:abstractNumId w:val="37"/>
  </w:num>
  <w:num w:numId="16">
    <w:abstractNumId w:val="42"/>
  </w:num>
  <w:num w:numId="17">
    <w:abstractNumId w:val="35"/>
  </w:num>
  <w:num w:numId="18">
    <w:abstractNumId w:val="54"/>
  </w:num>
  <w:num w:numId="19">
    <w:abstractNumId w:val="32"/>
  </w:num>
  <w:num w:numId="20">
    <w:abstractNumId w:val="2"/>
  </w:num>
  <w:num w:numId="21">
    <w:abstractNumId w:val="18"/>
  </w:num>
  <w:num w:numId="22">
    <w:abstractNumId w:val="57"/>
  </w:num>
  <w:num w:numId="23">
    <w:abstractNumId w:val="41"/>
  </w:num>
  <w:num w:numId="24">
    <w:abstractNumId w:val="8"/>
  </w:num>
  <w:num w:numId="25">
    <w:abstractNumId w:val="51"/>
  </w:num>
  <w:num w:numId="26">
    <w:abstractNumId w:val="53"/>
  </w:num>
  <w:num w:numId="27">
    <w:abstractNumId w:val="3"/>
  </w:num>
  <w:num w:numId="28">
    <w:abstractNumId w:val="5"/>
  </w:num>
  <w:num w:numId="29">
    <w:abstractNumId w:val="31"/>
  </w:num>
  <w:num w:numId="30">
    <w:abstractNumId w:val="47"/>
  </w:num>
  <w:num w:numId="31">
    <w:abstractNumId w:val="43"/>
  </w:num>
  <w:num w:numId="32">
    <w:abstractNumId w:val="0"/>
  </w:num>
  <w:num w:numId="33">
    <w:abstractNumId w:val="40"/>
  </w:num>
  <w:num w:numId="34">
    <w:abstractNumId w:val="19"/>
  </w:num>
  <w:num w:numId="35">
    <w:abstractNumId w:val="33"/>
  </w:num>
  <w:num w:numId="36">
    <w:abstractNumId w:val="17"/>
  </w:num>
  <w:num w:numId="37">
    <w:abstractNumId w:val="11"/>
  </w:num>
  <w:num w:numId="38">
    <w:abstractNumId w:val="49"/>
  </w:num>
  <w:num w:numId="39">
    <w:abstractNumId w:val="56"/>
  </w:num>
  <w:num w:numId="40">
    <w:abstractNumId w:val="55"/>
  </w:num>
  <w:num w:numId="41">
    <w:abstractNumId w:val="22"/>
  </w:num>
  <w:num w:numId="42">
    <w:abstractNumId w:val="25"/>
  </w:num>
  <w:num w:numId="43">
    <w:abstractNumId w:val="14"/>
  </w:num>
  <w:num w:numId="44">
    <w:abstractNumId w:val="9"/>
  </w:num>
  <w:num w:numId="45">
    <w:abstractNumId w:val="6"/>
  </w:num>
  <w:num w:numId="46">
    <w:abstractNumId w:val="26"/>
  </w:num>
  <w:num w:numId="47">
    <w:abstractNumId w:val="45"/>
  </w:num>
  <w:num w:numId="48">
    <w:abstractNumId w:val="23"/>
  </w:num>
  <w:num w:numId="49">
    <w:abstractNumId w:val="24"/>
  </w:num>
  <w:num w:numId="50">
    <w:abstractNumId w:val="39"/>
  </w:num>
  <w:num w:numId="51">
    <w:abstractNumId w:val="21"/>
  </w:num>
  <w:num w:numId="52">
    <w:abstractNumId w:val="59"/>
  </w:num>
  <w:num w:numId="53">
    <w:abstractNumId w:val="27"/>
  </w:num>
  <w:num w:numId="54">
    <w:abstractNumId w:val="58"/>
  </w:num>
  <w:num w:numId="55">
    <w:abstractNumId w:val="30"/>
  </w:num>
  <w:num w:numId="56">
    <w:abstractNumId w:val="60"/>
  </w:num>
  <w:num w:numId="57">
    <w:abstractNumId w:val="16"/>
  </w:num>
  <w:num w:numId="58">
    <w:abstractNumId w:val="48"/>
  </w:num>
  <w:num w:numId="59">
    <w:abstractNumId w:val="10"/>
  </w:num>
  <w:num w:numId="60">
    <w:abstractNumId w:val="46"/>
  </w:num>
  <w:num w:numId="61">
    <w:abstractNumId w:val="38"/>
  </w:num>
  <w:num w:numId="62">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A38"/>
    <w:rsid w:val="0000040A"/>
    <w:rsid w:val="00000A94"/>
    <w:rsid w:val="00001972"/>
    <w:rsid w:val="00001D9A"/>
    <w:rsid w:val="00007B3A"/>
    <w:rsid w:val="000107E0"/>
    <w:rsid w:val="00011671"/>
    <w:rsid w:val="00011FDE"/>
    <w:rsid w:val="000129AB"/>
    <w:rsid w:val="00012FFD"/>
    <w:rsid w:val="00014162"/>
    <w:rsid w:val="00014340"/>
    <w:rsid w:val="00016A9C"/>
    <w:rsid w:val="00022184"/>
    <w:rsid w:val="00022762"/>
    <w:rsid w:val="000238E0"/>
    <w:rsid w:val="000249DB"/>
    <w:rsid w:val="0002595E"/>
    <w:rsid w:val="000303C3"/>
    <w:rsid w:val="00032E5A"/>
    <w:rsid w:val="000331D3"/>
    <w:rsid w:val="000346A5"/>
    <w:rsid w:val="000359C3"/>
    <w:rsid w:val="00035A7D"/>
    <w:rsid w:val="00037316"/>
    <w:rsid w:val="000410E8"/>
    <w:rsid w:val="0004249A"/>
    <w:rsid w:val="00043282"/>
    <w:rsid w:val="00044286"/>
    <w:rsid w:val="000451D2"/>
    <w:rsid w:val="00047F28"/>
    <w:rsid w:val="00047F8C"/>
    <w:rsid w:val="000503AA"/>
    <w:rsid w:val="000506A1"/>
    <w:rsid w:val="000515DD"/>
    <w:rsid w:val="0005265A"/>
    <w:rsid w:val="000539DD"/>
    <w:rsid w:val="00053BD3"/>
    <w:rsid w:val="000556ED"/>
    <w:rsid w:val="00055FE2"/>
    <w:rsid w:val="0005616F"/>
    <w:rsid w:val="000606AC"/>
    <w:rsid w:val="00060C2E"/>
    <w:rsid w:val="00061033"/>
    <w:rsid w:val="000619E9"/>
    <w:rsid w:val="000622D4"/>
    <w:rsid w:val="0006357D"/>
    <w:rsid w:val="00067F1E"/>
    <w:rsid w:val="00071CC0"/>
    <w:rsid w:val="00073A28"/>
    <w:rsid w:val="00073C8C"/>
    <w:rsid w:val="00077B64"/>
    <w:rsid w:val="00080A1C"/>
    <w:rsid w:val="00082317"/>
    <w:rsid w:val="00083D2C"/>
    <w:rsid w:val="00086AA1"/>
    <w:rsid w:val="00086B98"/>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5F39"/>
    <w:rsid w:val="000B6A0B"/>
    <w:rsid w:val="000B6A6B"/>
    <w:rsid w:val="000C0F6C"/>
    <w:rsid w:val="000C11DB"/>
    <w:rsid w:val="000C1492"/>
    <w:rsid w:val="000C2FBD"/>
    <w:rsid w:val="000C4B41"/>
    <w:rsid w:val="000C57D6"/>
    <w:rsid w:val="000C7666"/>
    <w:rsid w:val="000D0A9C"/>
    <w:rsid w:val="000D1795"/>
    <w:rsid w:val="000D2F41"/>
    <w:rsid w:val="000D329A"/>
    <w:rsid w:val="000D4B74"/>
    <w:rsid w:val="000D4B9C"/>
    <w:rsid w:val="000D4EB6"/>
    <w:rsid w:val="000D753B"/>
    <w:rsid w:val="000E4C9E"/>
    <w:rsid w:val="000E6FD7"/>
    <w:rsid w:val="000F06E1"/>
    <w:rsid w:val="000F0E3C"/>
    <w:rsid w:val="000F19D5"/>
    <w:rsid w:val="000F4AEA"/>
    <w:rsid w:val="000F67E9"/>
    <w:rsid w:val="000F6D1E"/>
    <w:rsid w:val="00104926"/>
    <w:rsid w:val="00113B1E"/>
    <w:rsid w:val="00114D54"/>
    <w:rsid w:val="001162DA"/>
    <w:rsid w:val="0011711C"/>
    <w:rsid w:val="00124E4F"/>
    <w:rsid w:val="001260B7"/>
    <w:rsid w:val="001265CB"/>
    <w:rsid w:val="001321C6"/>
    <w:rsid w:val="001325C4"/>
    <w:rsid w:val="00133010"/>
    <w:rsid w:val="0013329C"/>
    <w:rsid w:val="001338EE"/>
    <w:rsid w:val="00133AAE"/>
    <w:rsid w:val="00135323"/>
    <w:rsid w:val="001356C4"/>
    <w:rsid w:val="00141114"/>
    <w:rsid w:val="00142969"/>
    <w:rsid w:val="001457E7"/>
    <w:rsid w:val="00145D9D"/>
    <w:rsid w:val="00146388"/>
    <w:rsid w:val="0014796F"/>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2E8"/>
    <w:rsid w:val="001705BE"/>
    <w:rsid w:val="00170804"/>
    <w:rsid w:val="001708E9"/>
    <w:rsid w:val="0017340B"/>
    <w:rsid w:val="00173FB1"/>
    <w:rsid w:val="00176DFD"/>
    <w:rsid w:val="00181BEF"/>
    <w:rsid w:val="001852C9"/>
    <w:rsid w:val="00187E7F"/>
    <w:rsid w:val="00190087"/>
    <w:rsid w:val="001913C4"/>
    <w:rsid w:val="0019348F"/>
    <w:rsid w:val="00193A07"/>
    <w:rsid w:val="00194C95"/>
    <w:rsid w:val="00195C34"/>
    <w:rsid w:val="00196B9D"/>
    <w:rsid w:val="00197655"/>
    <w:rsid w:val="001A1A53"/>
    <w:rsid w:val="001A234A"/>
    <w:rsid w:val="001B06E8"/>
    <w:rsid w:val="001B193E"/>
    <w:rsid w:val="001B2E07"/>
    <w:rsid w:val="001B71D0"/>
    <w:rsid w:val="001B71EE"/>
    <w:rsid w:val="001C04A8"/>
    <w:rsid w:val="001C2C03"/>
    <w:rsid w:val="001C42F7"/>
    <w:rsid w:val="001C4584"/>
    <w:rsid w:val="001C49E5"/>
    <w:rsid w:val="001C680C"/>
    <w:rsid w:val="001C7FEA"/>
    <w:rsid w:val="001D0499"/>
    <w:rsid w:val="001D0BBE"/>
    <w:rsid w:val="001D0ED4"/>
    <w:rsid w:val="001D1241"/>
    <w:rsid w:val="001D212F"/>
    <w:rsid w:val="001D29D7"/>
    <w:rsid w:val="001D2DE7"/>
    <w:rsid w:val="001D411C"/>
    <w:rsid w:val="001D7989"/>
    <w:rsid w:val="001D7D6E"/>
    <w:rsid w:val="001E1B6A"/>
    <w:rsid w:val="001E2484"/>
    <w:rsid w:val="001E379D"/>
    <w:rsid w:val="001E3CC4"/>
    <w:rsid w:val="001E4882"/>
    <w:rsid w:val="001E73AB"/>
    <w:rsid w:val="001F092D"/>
    <w:rsid w:val="001F143A"/>
    <w:rsid w:val="001F1605"/>
    <w:rsid w:val="001F2508"/>
    <w:rsid w:val="001F4816"/>
    <w:rsid w:val="001F69B4"/>
    <w:rsid w:val="001F77C7"/>
    <w:rsid w:val="001F7E22"/>
    <w:rsid w:val="00200183"/>
    <w:rsid w:val="00200F7F"/>
    <w:rsid w:val="0020107D"/>
    <w:rsid w:val="00202AA4"/>
    <w:rsid w:val="002031F7"/>
    <w:rsid w:val="002040E6"/>
    <w:rsid w:val="0020527B"/>
    <w:rsid w:val="00205F2C"/>
    <w:rsid w:val="00206B35"/>
    <w:rsid w:val="00210B15"/>
    <w:rsid w:val="002142EA"/>
    <w:rsid w:val="002174D5"/>
    <w:rsid w:val="00217D1C"/>
    <w:rsid w:val="002204BB"/>
    <w:rsid w:val="00221B79"/>
    <w:rsid w:val="00221C6B"/>
    <w:rsid w:val="00224596"/>
    <w:rsid w:val="002253A1"/>
    <w:rsid w:val="00225CF8"/>
    <w:rsid w:val="0022718D"/>
    <w:rsid w:val="00227831"/>
    <w:rsid w:val="0022794E"/>
    <w:rsid w:val="00232FF4"/>
    <w:rsid w:val="00233D64"/>
    <w:rsid w:val="00234784"/>
    <w:rsid w:val="0023482A"/>
    <w:rsid w:val="002359CB"/>
    <w:rsid w:val="00240657"/>
    <w:rsid w:val="00243540"/>
    <w:rsid w:val="00244556"/>
    <w:rsid w:val="0024497B"/>
    <w:rsid w:val="0024515B"/>
    <w:rsid w:val="00246021"/>
    <w:rsid w:val="00246249"/>
    <w:rsid w:val="0024666E"/>
    <w:rsid w:val="00247F52"/>
    <w:rsid w:val="00250B25"/>
    <w:rsid w:val="00250BBE"/>
    <w:rsid w:val="002515C2"/>
    <w:rsid w:val="0025166F"/>
    <w:rsid w:val="0025194F"/>
    <w:rsid w:val="00252F78"/>
    <w:rsid w:val="00254658"/>
    <w:rsid w:val="0026148A"/>
    <w:rsid w:val="00261ACA"/>
    <w:rsid w:val="00262696"/>
    <w:rsid w:val="002634BC"/>
    <w:rsid w:val="002643C3"/>
    <w:rsid w:val="00264A0C"/>
    <w:rsid w:val="0026554A"/>
    <w:rsid w:val="00267EF4"/>
    <w:rsid w:val="00270CB8"/>
    <w:rsid w:val="00272B08"/>
    <w:rsid w:val="00273281"/>
    <w:rsid w:val="00276983"/>
    <w:rsid w:val="00281BB8"/>
    <w:rsid w:val="00281C2A"/>
    <w:rsid w:val="00281E9E"/>
    <w:rsid w:val="00285170"/>
    <w:rsid w:val="00285361"/>
    <w:rsid w:val="00287B82"/>
    <w:rsid w:val="0029085F"/>
    <w:rsid w:val="00292D60"/>
    <w:rsid w:val="00294D34"/>
    <w:rsid w:val="00294E3B"/>
    <w:rsid w:val="00296193"/>
    <w:rsid w:val="00296C66"/>
    <w:rsid w:val="00296EBE"/>
    <w:rsid w:val="002974E3"/>
    <w:rsid w:val="002A084B"/>
    <w:rsid w:val="002A0939"/>
    <w:rsid w:val="002A1260"/>
    <w:rsid w:val="002A1589"/>
    <w:rsid w:val="002A1608"/>
    <w:rsid w:val="002A25DC"/>
    <w:rsid w:val="002A3AAB"/>
    <w:rsid w:val="002A4CEA"/>
    <w:rsid w:val="002A5977"/>
    <w:rsid w:val="002A5A13"/>
    <w:rsid w:val="002A757F"/>
    <w:rsid w:val="002A7F44"/>
    <w:rsid w:val="002B0C40"/>
    <w:rsid w:val="002B1966"/>
    <w:rsid w:val="002B23E3"/>
    <w:rsid w:val="002B2824"/>
    <w:rsid w:val="002B2A38"/>
    <w:rsid w:val="002B4508"/>
    <w:rsid w:val="002B5779"/>
    <w:rsid w:val="002B7332"/>
    <w:rsid w:val="002B7F51"/>
    <w:rsid w:val="002C09E7"/>
    <w:rsid w:val="002C3F07"/>
    <w:rsid w:val="002C5278"/>
    <w:rsid w:val="002C7EBB"/>
    <w:rsid w:val="002D06C1"/>
    <w:rsid w:val="002D1EDD"/>
    <w:rsid w:val="002D42B5"/>
    <w:rsid w:val="002D4F1A"/>
    <w:rsid w:val="002D6DA6"/>
    <w:rsid w:val="002D6EC6"/>
    <w:rsid w:val="002D79AC"/>
    <w:rsid w:val="002D7ACF"/>
    <w:rsid w:val="002E039D"/>
    <w:rsid w:val="002E484A"/>
    <w:rsid w:val="002E4D5A"/>
    <w:rsid w:val="002E6326"/>
    <w:rsid w:val="002E6665"/>
    <w:rsid w:val="002F30E0"/>
    <w:rsid w:val="002F35E4"/>
    <w:rsid w:val="002F3730"/>
    <w:rsid w:val="002F38E1"/>
    <w:rsid w:val="002F7AF6"/>
    <w:rsid w:val="00300E63"/>
    <w:rsid w:val="00302F5F"/>
    <w:rsid w:val="0030441D"/>
    <w:rsid w:val="00306063"/>
    <w:rsid w:val="00312D47"/>
    <w:rsid w:val="00313B85"/>
    <w:rsid w:val="00317988"/>
    <w:rsid w:val="003221B4"/>
    <w:rsid w:val="00322E62"/>
    <w:rsid w:val="00323E57"/>
    <w:rsid w:val="00324EDD"/>
    <w:rsid w:val="003269CF"/>
    <w:rsid w:val="00332B2C"/>
    <w:rsid w:val="003331E4"/>
    <w:rsid w:val="00333E7B"/>
    <w:rsid w:val="0033580D"/>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20B0"/>
    <w:rsid w:val="00374122"/>
    <w:rsid w:val="003751B8"/>
    <w:rsid w:val="00375602"/>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22E1"/>
    <w:rsid w:val="003A4077"/>
    <w:rsid w:val="003A58C8"/>
    <w:rsid w:val="003B09AD"/>
    <w:rsid w:val="003B0BD9"/>
    <w:rsid w:val="003B1F18"/>
    <w:rsid w:val="003B5BF0"/>
    <w:rsid w:val="003B60BF"/>
    <w:rsid w:val="003B6BE3"/>
    <w:rsid w:val="003C010C"/>
    <w:rsid w:val="003C0A6C"/>
    <w:rsid w:val="003C2859"/>
    <w:rsid w:val="003C39B7"/>
    <w:rsid w:val="003C55F8"/>
    <w:rsid w:val="003C5A43"/>
    <w:rsid w:val="003C64E7"/>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3F74FF"/>
    <w:rsid w:val="00400E72"/>
    <w:rsid w:val="00401400"/>
    <w:rsid w:val="00404869"/>
    <w:rsid w:val="00405884"/>
    <w:rsid w:val="0040603E"/>
    <w:rsid w:val="00407D39"/>
    <w:rsid w:val="00410AC1"/>
    <w:rsid w:val="0041202B"/>
    <w:rsid w:val="0041477A"/>
    <w:rsid w:val="00415C42"/>
    <w:rsid w:val="004167A3"/>
    <w:rsid w:val="00417ABA"/>
    <w:rsid w:val="0042472E"/>
    <w:rsid w:val="00432132"/>
    <w:rsid w:val="00432DAA"/>
    <w:rsid w:val="00434305"/>
    <w:rsid w:val="00435DF7"/>
    <w:rsid w:val="0044083F"/>
    <w:rsid w:val="00441AE7"/>
    <w:rsid w:val="00445574"/>
    <w:rsid w:val="00445B27"/>
    <w:rsid w:val="004467FB"/>
    <w:rsid w:val="00447945"/>
    <w:rsid w:val="00452D6B"/>
    <w:rsid w:val="00454484"/>
    <w:rsid w:val="00454A85"/>
    <w:rsid w:val="0045517B"/>
    <w:rsid w:val="004563CD"/>
    <w:rsid w:val="00463B77"/>
    <w:rsid w:val="00463C7B"/>
    <w:rsid w:val="00463F02"/>
    <w:rsid w:val="004644A6"/>
    <w:rsid w:val="0046476D"/>
    <w:rsid w:val="004659BD"/>
    <w:rsid w:val="00470775"/>
    <w:rsid w:val="004715BD"/>
    <w:rsid w:val="004746B1"/>
    <w:rsid w:val="00474A6F"/>
    <w:rsid w:val="00474D62"/>
    <w:rsid w:val="0047583F"/>
    <w:rsid w:val="00484936"/>
    <w:rsid w:val="004852DD"/>
    <w:rsid w:val="00485C89"/>
    <w:rsid w:val="00486BE3"/>
    <w:rsid w:val="004905E4"/>
    <w:rsid w:val="00490A89"/>
    <w:rsid w:val="00490AB4"/>
    <w:rsid w:val="004920D8"/>
    <w:rsid w:val="00492F02"/>
    <w:rsid w:val="004939AE"/>
    <w:rsid w:val="004A12DF"/>
    <w:rsid w:val="004A18FE"/>
    <w:rsid w:val="004A1BA8"/>
    <w:rsid w:val="004A2A21"/>
    <w:rsid w:val="004A3744"/>
    <w:rsid w:val="004A4B57"/>
    <w:rsid w:val="004A63FA"/>
    <w:rsid w:val="004B0272"/>
    <w:rsid w:val="004B2701"/>
    <w:rsid w:val="004B2E1B"/>
    <w:rsid w:val="004B3E93"/>
    <w:rsid w:val="004C0054"/>
    <w:rsid w:val="004C1FBC"/>
    <w:rsid w:val="004C3F1D"/>
    <w:rsid w:val="004C458D"/>
    <w:rsid w:val="004C65DB"/>
    <w:rsid w:val="004C7556"/>
    <w:rsid w:val="004C781E"/>
    <w:rsid w:val="004C7E9D"/>
    <w:rsid w:val="004C7F67"/>
    <w:rsid w:val="004D076D"/>
    <w:rsid w:val="004D090B"/>
    <w:rsid w:val="004D0EF1"/>
    <w:rsid w:val="004D189E"/>
    <w:rsid w:val="004D2253"/>
    <w:rsid w:val="004D2FC1"/>
    <w:rsid w:val="004D4406"/>
    <w:rsid w:val="004D7C42"/>
    <w:rsid w:val="004E0465"/>
    <w:rsid w:val="004E127B"/>
    <w:rsid w:val="004E1C0A"/>
    <w:rsid w:val="004E3014"/>
    <w:rsid w:val="004E30C5"/>
    <w:rsid w:val="004E4AA5"/>
    <w:rsid w:val="004E4AEE"/>
    <w:rsid w:val="004E59E3"/>
    <w:rsid w:val="004E67C0"/>
    <w:rsid w:val="004F391A"/>
    <w:rsid w:val="004F3CFB"/>
    <w:rsid w:val="004F50AF"/>
    <w:rsid w:val="004F6456"/>
    <w:rsid w:val="004F696E"/>
    <w:rsid w:val="004F6C71"/>
    <w:rsid w:val="004F71C3"/>
    <w:rsid w:val="005005B4"/>
    <w:rsid w:val="00501139"/>
    <w:rsid w:val="00502991"/>
    <w:rsid w:val="005030DC"/>
    <w:rsid w:val="0050363E"/>
    <w:rsid w:val="005039BC"/>
    <w:rsid w:val="005043BB"/>
    <w:rsid w:val="00504A3D"/>
    <w:rsid w:val="00505767"/>
    <w:rsid w:val="005073F0"/>
    <w:rsid w:val="00507FBC"/>
    <w:rsid w:val="00510A7B"/>
    <w:rsid w:val="00512F6E"/>
    <w:rsid w:val="00513038"/>
    <w:rsid w:val="00514174"/>
    <w:rsid w:val="00516088"/>
    <w:rsid w:val="00516B0B"/>
    <w:rsid w:val="005207F4"/>
    <w:rsid w:val="00521350"/>
    <w:rsid w:val="005220EC"/>
    <w:rsid w:val="005225A7"/>
    <w:rsid w:val="00522AE8"/>
    <w:rsid w:val="00523F95"/>
    <w:rsid w:val="00524D65"/>
    <w:rsid w:val="00525B16"/>
    <w:rsid w:val="005272E1"/>
    <w:rsid w:val="00533D04"/>
    <w:rsid w:val="00534804"/>
    <w:rsid w:val="00534BDF"/>
    <w:rsid w:val="005354EA"/>
    <w:rsid w:val="00535EC4"/>
    <w:rsid w:val="00535ED9"/>
    <w:rsid w:val="0053692B"/>
    <w:rsid w:val="00541853"/>
    <w:rsid w:val="00543BDA"/>
    <w:rsid w:val="005441CC"/>
    <w:rsid w:val="005479DA"/>
    <w:rsid w:val="00547BCC"/>
    <w:rsid w:val="0055013B"/>
    <w:rsid w:val="005508A3"/>
    <w:rsid w:val="00551F6F"/>
    <w:rsid w:val="00555044"/>
    <w:rsid w:val="00561475"/>
    <w:rsid w:val="0056487B"/>
    <w:rsid w:val="00564FB9"/>
    <w:rsid w:val="00573D9E"/>
    <w:rsid w:val="005801E3"/>
    <w:rsid w:val="005808DB"/>
    <w:rsid w:val="005811AA"/>
    <w:rsid w:val="00581802"/>
    <w:rsid w:val="005836A8"/>
    <w:rsid w:val="0058409C"/>
    <w:rsid w:val="00584262"/>
    <w:rsid w:val="005848A2"/>
    <w:rsid w:val="00586630"/>
    <w:rsid w:val="00587ADD"/>
    <w:rsid w:val="00592A24"/>
    <w:rsid w:val="00593544"/>
    <w:rsid w:val="00596160"/>
    <w:rsid w:val="005966E2"/>
    <w:rsid w:val="00597007"/>
    <w:rsid w:val="005A0966"/>
    <w:rsid w:val="005A11B7"/>
    <w:rsid w:val="005A1A8A"/>
    <w:rsid w:val="005A260B"/>
    <w:rsid w:val="005A4A1B"/>
    <w:rsid w:val="005A7830"/>
    <w:rsid w:val="005A7FCE"/>
    <w:rsid w:val="005B0F3F"/>
    <w:rsid w:val="005B2440"/>
    <w:rsid w:val="005B3A8A"/>
    <w:rsid w:val="005B4903"/>
    <w:rsid w:val="005B4C60"/>
    <w:rsid w:val="005B51CE"/>
    <w:rsid w:val="005B5885"/>
    <w:rsid w:val="005B5CD7"/>
    <w:rsid w:val="005B6CF6"/>
    <w:rsid w:val="005B713B"/>
    <w:rsid w:val="005B7422"/>
    <w:rsid w:val="005C29B8"/>
    <w:rsid w:val="005C5F21"/>
    <w:rsid w:val="005C7156"/>
    <w:rsid w:val="005D0C75"/>
    <w:rsid w:val="005D1487"/>
    <w:rsid w:val="005D1E63"/>
    <w:rsid w:val="005D4171"/>
    <w:rsid w:val="005D6510"/>
    <w:rsid w:val="005D6A95"/>
    <w:rsid w:val="005D6B2C"/>
    <w:rsid w:val="005D6D9C"/>
    <w:rsid w:val="005E0AEC"/>
    <w:rsid w:val="005E2335"/>
    <w:rsid w:val="005E34CA"/>
    <w:rsid w:val="005E3C18"/>
    <w:rsid w:val="005E6318"/>
    <w:rsid w:val="005E6812"/>
    <w:rsid w:val="005E6EDD"/>
    <w:rsid w:val="005E7829"/>
    <w:rsid w:val="005E7881"/>
    <w:rsid w:val="005E78E0"/>
    <w:rsid w:val="005F0D9C"/>
    <w:rsid w:val="005F284E"/>
    <w:rsid w:val="005F520B"/>
    <w:rsid w:val="006015CE"/>
    <w:rsid w:val="00604784"/>
    <w:rsid w:val="00606419"/>
    <w:rsid w:val="00607D29"/>
    <w:rsid w:val="00612952"/>
    <w:rsid w:val="00614CC1"/>
    <w:rsid w:val="00615A9D"/>
    <w:rsid w:val="00617387"/>
    <w:rsid w:val="006252D8"/>
    <w:rsid w:val="006259BC"/>
    <w:rsid w:val="0062636B"/>
    <w:rsid w:val="00627335"/>
    <w:rsid w:val="00627402"/>
    <w:rsid w:val="00632182"/>
    <w:rsid w:val="00632AE0"/>
    <w:rsid w:val="00633C17"/>
    <w:rsid w:val="00636E3E"/>
    <w:rsid w:val="006379F7"/>
    <w:rsid w:val="00637E4D"/>
    <w:rsid w:val="00640620"/>
    <w:rsid w:val="00641A1F"/>
    <w:rsid w:val="0064528D"/>
    <w:rsid w:val="00645904"/>
    <w:rsid w:val="00650785"/>
    <w:rsid w:val="00651ACB"/>
    <w:rsid w:val="00651C47"/>
    <w:rsid w:val="00652AB2"/>
    <w:rsid w:val="00654116"/>
    <w:rsid w:val="00654EC0"/>
    <w:rsid w:val="0065525B"/>
    <w:rsid w:val="00655D4F"/>
    <w:rsid w:val="006575CE"/>
    <w:rsid w:val="006578ED"/>
    <w:rsid w:val="00663F56"/>
    <w:rsid w:val="006640E5"/>
    <w:rsid w:val="006642EC"/>
    <w:rsid w:val="006646F1"/>
    <w:rsid w:val="00664929"/>
    <w:rsid w:val="00664F62"/>
    <w:rsid w:val="006655E1"/>
    <w:rsid w:val="00672060"/>
    <w:rsid w:val="00672BFD"/>
    <w:rsid w:val="006770F4"/>
    <w:rsid w:val="00677A84"/>
    <w:rsid w:val="0068026D"/>
    <w:rsid w:val="00680A27"/>
    <w:rsid w:val="006816A4"/>
    <w:rsid w:val="006819B8"/>
    <w:rsid w:val="0068210C"/>
    <w:rsid w:val="006840A6"/>
    <w:rsid w:val="006850CD"/>
    <w:rsid w:val="00685AAB"/>
    <w:rsid w:val="006A07AA"/>
    <w:rsid w:val="006A25E5"/>
    <w:rsid w:val="006A2B46"/>
    <w:rsid w:val="006A336D"/>
    <w:rsid w:val="006A37B9"/>
    <w:rsid w:val="006A3815"/>
    <w:rsid w:val="006B2672"/>
    <w:rsid w:val="006B4C49"/>
    <w:rsid w:val="006B54BF"/>
    <w:rsid w:val="006B5F44"/>
    <w:rsid w:val="006B5F90"/>
    <w:rsid w:val="006B62E4"/>
    <w:rsid w:val="006B7562"/>
    <w:rsid w:val="006C1BBA"/>
    <w:rsid w:val="006C2079"/>
    <w:rsid w:val="006C317D"/>
    <w:rsid w:val="006C4FC3"/>
    <w:rsid w:val="006C5A62"/>
    <w:rsid w:val="006C5D68"/>
    <w:rsid w:val="006C6976"/>
    <w:rsid w:val="006C6DD0"/>
    <w:rsid w:val="006D04EA"/>
    <w:rsid w:val="006D16C4"/>
    <w:rsid w:val="006D3E96"/>
    <w:rsid w:val="006D4515"/>
    <w:rsid w:val="006D4BB1"/>
    <w:rsid w:val="006D6543"/>
    <w:rsid w:val="006D6593"/>
    <w:rsid w:val="006D686E"/>
    <w:rsid w:val="006E1AD9"/>
    <w:rsid w:val="006E1D20"/>
    <w:rsid w:val="006F03A8"/>
    <w:rsid w:val="006F126C"/>
    <w:rsid w:val="006F2ACA"/>
    <w:rsid w:val="006F2ADC"/>
    <w:rsid w:val="006F2BFE"/>
    <w:rsid w:val="006F31E9"/>
    <w:rsid w:val="006F56E5"/>
    <w:rsid w:val="006F6284"/>
    <w:rsid w:val="006F64D1"/>
    <w:rsid w:val="006F7FDE"/>
    <w:rsid w:val="007002C5"/>
    <w:rsid w:val="0070348B"/>
    <w:rsid w:val="00704387"/>
    <w:rsid w:val="00706630"/>
    <w:rsid w:val="00707175"/>
    <w:rsid w:val="00707669"/>
    <w:rsid w:val="00711CBA"/>
    <w:rsid w:val="00711FB5"/>
    <w:rsid w:val="00712A01"/>
    <w:rsid w:val="00713E30"/>
    <w:rsid w:val="00714F58"/>
    <w:rsid w:val="00717160"/>
    <w:rsid w:val="00722617"/>
    <w:rsid w:val="00722FBF"/>
    <w:rsid w:val="00722FC2"/>
    <w:rsid w:val="00725949"/>
    <w:rsid w:val="0072632F"/>
    <w:rsid w:val="00727FA2"/>
    <w:rsid w:val="007322D9"/>
    <w:rsid w:val="00732BC0"/>
    <w:rsid w:val="00732F4E"/>
    <w:rsid w:val="0073720F"/>
    <w:rsid w:val="00737796"/>
    <w:rsid w:val="0074165C"/>
    <w:rsid w:val="00742430"/>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FB"/>
    <w:rsid w:val="007671CA"/>
    <w:rsid w:val="0076744F"/>
    <w:rsid w:val="00767C61"/>
    <w:rsid w:val="0077008A"/>
    <w:rsid w:val="007736AD"/>
    <w:rsid w:val="0077395E"/>
    <w:rsid w:val="00773C1F"/>
    <w:rsid w:val="00774DA4"/>
    <w:rsid w:val="00776599"/>
    <w:rsid w:val="0078114B"/>
    <w:rsid w:val="00781DD2"/>
    <w:rsid w:val="00782999"/>
    <w:rsid w:val="00783ECF"/>
    <w:rsid w:val="0078413A"/>
    <w:rsid w:val="007946BD"/>
    <w:rsid w:val="007959E8"/>
    <w:rsid w:val="00795E9C"/>
    <w:rsid w:val="007962C0"/>
    <w:rsid w:val="007A0521"/>
    <w:rsid w:val="007A2E12"/>
    <w:rsid w:val="007A3475"/>
    <w:rsid w:val="007A41C8"/>
    <w:rsid w:val="007A54CE"/>
    <w:rsid w:val="007A6E58"/>
    <w:rsid w:val="007A6FD9"/>
    <w:rsid w:val="007A7FFA"/>
    <w:rsid w:val="007B04EB"/>
    <w:rsid w:val="007B0947"/>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2BB"/>
    <w:rsid w:val="007D76BD"/>
    <w:rsid w:val="007E0BF1"/>
    <w:rsid w:val="007E0D02"/>
    <w:rsid w:val="007E258B"/>
    <w:rsid w:val="007E5C55"/>
    <w:rsid w:val="007E5FDA"/>
    <w:rsid w:val="007F0ED8"/>
    <w:rsid w:val="007F0F63"/>
    <w:rsid w:val="007F3748"/>
    <w:rsid w:val="007F75CE"/>
    <w:rsid w:val="008013A4"/>
    <w:rsid w:val="008027CE"/>
    <w:rsid w:val="00802F42"/>
    <w:rsid w:val="00804383"/>
    <w:rsid w:val="00804BB7"/>
    <w:rsid w:val="00810257"/>
    <w:rsid w:val="008104F5"/>
    <w:rsid w:val="00811072"/>
    <w:rsid w:val="00811369"/>
    <w:rsid w:val="00814079"/>
    <w:rsid w:val="00815419"/>
    <w:rsid w:val="008163C8"/>
    <w:rsid w:val="008164A1"/>
    <w:rsid w:val="00817325"/>
    <w:rsid w:val="00820891"/>
    <w:rsid w:val="008209E6"/>
    <w:rsid w:val="00823303"/>
    <w:rsid w:val="008233B2"/>
    <w:rsid w:val="00823A9F"/>
    <w:rsid w:val="00823C85"/>
    <w:rsid w:val="00825138"/>
    <w:rsid w:val="008269DD"/>
    <w:rsid w:val="00830621"/>
    <w:rsid w:val="0083348C"/>
    <w:rsid w:val="0083525D"/>
    <w:rsid w:val="00835DEC"/>
    <w:rsid w:val="008371B9"/>
    <w:rsid w:val="008373D3"/>
    <w:rsid w:val="00840617"/>
    <w:rsid w:val="00842A47"/>
    <w:rsid w:val="00843C13"/>
    <w:rsid w:val="008454F8"/>
    <w:rsid w:val="0085173A"/>
    <w:rsid w:val="00854343"/>
    <w:rsid w:val="0085460F"/>
    <w:rsid w:val="00860297"/>
    <w:rsid w:val="008603CE"/>
    <w:rsid w:val="00860CCC"/>
    <w:rsid w:val="008620FC"/>
    <w:rsid w:val="008627A5"/>
    <w:rsid w:val="00863E05"/>
    <w:rsid w:val="0086431E"/>
    <w:rsid w:val="00865ACA"/>
    <w:rsid w:val="00865D28"/>
    <w:rsid w:val="00865F85"/>
    <w:rsid w:val="00867C10"/>
    <w:rsid w:val="00870439"/>
    <w:rsid w:val="00870DA1"/>
    <w:rsid w:val="00871D11"/>
    <w:rsid w:val="008740A2"/>
    <w:rsid w:val="008757AF"/>
    <w:rsid w:val="00876AE8"/>
    <w:rsid w:val="00883DCC"/>
    <w:rsid w:val="00883F93"/>
    <w:rsid w:val="00884DB3"/>
    <w:rsid w:val="00885213"/>
    <w:rsid w:val="00885A9D"/>
    <w:rsid w:val="008864F6"/>
    <w:rsid w:val="0089049D"/>
    <w:rsid w:val="008928C9"/>
    <w:rsid w:val="008938DC"/>
    <w:rsid w:val="00893FD1"/>
    <w:rsid w:val="00894836"/>
    <w:rsid w:val="00895172"/>
    <w:rsid w:val="00895680"/>
    <w:rsid w:val="00896DFF"/>
    <w:rsid w:val="0089762C"/>
    <w:rsid w:val="008A0CC9"/>
    <w:rsid w:val="008A1893"/>
    <w:rsid w:val="008A305D"/>
    <w:rsid w:val="008A769A"/>
    <w:rsid w:val="008B0C9C"/>
    <w:rsid w:val="008B166D"/>
    <w:rsid w:val="008B17F4"/>
    <w:rsid w:val="008B3615"/>
    <w:rsid w:val="008B4AC4"/>
    <w:rsid w:val="008B50C8"/>
    <w:rsid w:val="008B5281"/>
    <w:rsid w:val="008B7E05"/>
    <w:rsid w:val="008C1797"/>
    <w:rsid w:val="008C219C"/>
    <w:rsid w:val="008C475E"/>
    <w:rsid w:val="008C4767"/>
    <w:rsid w:val="008C5BE3"/>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6E34"/>
    <w:rsid w:val="008F0CDC"/>
    <w:rsid w:val="008F17A3"/>
    <w:rsid w:val="008F1ED3"/>
    <w:rsid w:val="008F4C29"/>
    <w:rsid w:val="008F54B6"/>
    <w:rsid w:val="008F58DC"/>
    <w:rsid w:val="008F5A1F"/>
    <w:rsid w:val="008F70BD"/>
    <w:rsid w:val="008F788F"/>
    <w:rsid w:val="008F7EA2"/>
    <w:rsid w:val="00902722"/>
    <w:rsid w:val="009027BC"/>
    <w:rsid w:val="00903097"/>
    <w:rsid w:val="009062E6"/>
    <w:rsid w:val="00911BE5"/>
    <w:rsid w:val="00913CA9"/>
    <w:rsid w:val="009145AE"/>
    <w:rsid w:val="009146CE"/>
    <w:rsid w:val="00914CA7"/>
    <w:rsid w:val="00915C3E"/>
    <w:rsid w:val="009161A8"/>
    <w:rsid w:val="009245F5"/>
    <w:rsid w:val="009249EC"/>
    <w:rsid w:val="009273B3"/>
    <w:rsid w:val="009305B5"/>
    <w:rsid w:val="00936383"/>
    <w:rsid w:val="00941FA3"/>
    <w:rsid w:val="00942699"/>
    <w:rsid w:val="009429D5"/>
    <w:rsid w:val="00942BF1"/>
    <w:rsid w:val="009431F4"/>
    <w:rsid w:val="00945180"/>
    <w:rsid w:val="00945428"/>
    <w:rsid w:val="0094607B"/>
    <w:rsid w:val="009468B9"/>
    <w:rsid w:val="0095290B"/>
    <w:rsid w:val="00953604"/>
    <w:rsid w:val="0095496B"/>
    <w:rsid w:val="00955F18"/>
    <w:rsid w:val="009610DC"/>
    <w:rsid w:val="00961490"/>
    <w:rsid w:val="009618F9"/>
    <w:rsid w:val="0096381A"/>
    <w:rsid w:val="00965E04"/>
    <w:rsid w:val="009674AD"/>
    <w:rsid w:val="00970CDC"/>
    <w:rsid w:val="00975076"/>
    <w:rsid w:val="00977010"/>
    <w:rsid w:val="00977D02"/>
    <w:rsid w:val="009809BB"/>
    <w:rsid w:val="0098364B"/>
    <w:rsid w:val="009911AF"/>
    <w:rsid w:val="00991875"/>
    <w:rsid w:val="00991F92"/>
    <w:rsid w:val="00992179"/>
    <w:rsid w:val="00992985"/>
    <w:rsid w:val="00993889"/>
    <w:rsid w:val="00994782"/>
    <w:rsid w:val="0099551B"/>
    <w:rsid w:val="00997BF1"/>
    <w:rsid w:val="009A089C"/>
    <w:rsid w:val="009A118E"/>
    <w:rsid w:val="009A21CD"/>
    <w:rsid w:val="009A278C"/>
    <w:rsid w:val="009A2BC2"/>
    <w:rsid w:val="009A42C1"/>
    <w:rsid w:val="009A44DF"/>
    <w:rsid w:val="009A5429"/>
    <w:rsid w:val="009A72AD"/>
    <w:rsid w:val="009B09E0"/>
    <w:rsid w:val="009B0BC5"/>
    <w:rsid w:val="009B1247"/>
    <w:rsid w:val="009B1744"/>
    <w:rsid w:val="009B423D"/>
    <w:rsid w:val="009B6029"/>
    <w:rsid w:val="009B6464"/>
    <w:rsid w:val="009B6971"/>
    <w:rsid w:val="009C27F1"/>
    <w:rsid w:val="009C3152"/>
    <w:rsid w:val="009C4CFA"/>
    <w:rsid w:val="009C5070"/>
    <w:rsid w:val="009D112C"/>
    <w:rsid w:val="009D47FA"/>
    <w:rsid w:val="009D50D2"/>
    <w:rsid w:val="009D57A1"/>
    <w:rsid w:val="009D6BCA"/>
    <w:rsid w:val="009D72B9"/>
    <w:rsid w:val="009E0F62"/>
    <w:rsid w:val="009E1848"/>
    <w:rsid w:val="009E4A58"/>
    <w:rsid w:val="009E5A2D"/>
    <w:rsid w:val="009E5AB2"/>
    <w:rsid w:val="009E6219"/>
    <w:rsid w:val="009E64EC"/>
    <w:rsid w:val="009E6DF5"/>
    <w:rsid w:val="009F03B3"/>
    <w:rsid w:val="009F28BE"/>
    <w:rsid w:val="009F39B4"/>
    <w:rsid w:val="00A01757"/>
    <w:rsid w:val="00A028C0"/>
    <w:rsid w:val="00A02BAE"/>
    <w:rsid w:val="00A05AA6"/>
    <w:rsid w:val="00A062FE"/>
    <w:rsid w:val="00A06A6B"/>
    <w:rsid w:val="00A06E42"/>
    <w:rsid w:val="00A07E47"/>
    <w:rsid w:val="00A129D0"/>
    <w:rsid w:val="00A12C33"/>
    <w:rsid w:val="00A138BA"/>
    <w:rsid w:val="00A14C8E"/>
    <w:rsid w:val="00A15337"/>
    <w:rsid w:val="00A153D9"/>
    <w:rsid w:val="00A15F09"/>
    <w:rsid w:val="00A169B6"/>
    <w:rsid w:val="00A2271D"/>
    <w:rsid w:val="00A237D5"/>
    <w:rsid w:val="00A30EFC"/>
    <w:rsid w:val="00A31984"/>
    <w:rsid w:val="00A32D73"/>
    <w:rsid w:val="00A3367B"/>
    <w:rsid w:val="00A3597D"/>
    <w:rsid w:val="00A379AF"/>
    <w:rsid w:val="00A4006C"/>
    <w:rsid w:val="00A40091"/>
    <w:rsid w:val="00A4030F"/>
    <w:rsid w:val="00A41C79"/>
    <w:rsid w:val="00A41CB5"/>
    <w:rsid w:val="00A42CDF"/>
    <w:rsid w:val="00A4307B"/>
    <w:rsid w:val="00A4452E"/>
    <w:rsid w:val="00A4472C"/>
    <w:rsid w:val="00A44E69"/>
    <w:rsid w:val="00A4661E"/>
    <w:rsid w:val="00A476BF"/>
    <w:rsid w:val="00A5119D"/>
    <w:rsid w:val="00A53E9F"/>
    <w:rsid w:val="00A55BD6"/>
    <w:rsid w:val="00A55D50"/>
    <w:rsid w:val="00A57142"/>
    <w:rsid w:val="00A6162F"/>
    <w:rsid w:val="00A61D48"/>
    <w:rsid w:val="00A648CD"/>
    <w:rsid w:val="00A6537A"/>
    <w:rsid w:val="00A67866"/>
    <w:rsid w:val="00A70B07"/>
    <w:rsid w:val="00A71675"/>
    <w:rsid w:val="00A71B32"/>
    <w:rsid w:val="00A723F8"/>
    <w:rsid w:val="00A77CCB"/>
    <w:rsid w:val="00A82646"/>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243E"/>
    <w:rsid w:val="00AB3572"/>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4CFE"/>
    <w:rsid w:val="00AF5398"/>
    <w:rsid w:val="00B049AF"/>
    <w:rsid w:val="00B07242"/>
    <w:rsid w:val="00B10534"/>
    <w:rsid w:val="00B113DB"/>
    <w:rsid w:val="00B11D8A"/>
    <w:rsid w:val="00B12981"/>
    <w:rsid w:val="00B147DD"/>
    <w:rsid w:val="00B156FD"/>
    <w:rsid w:val="00B21F61"/>
    <w:rsid w:val="00B24FF9"/>
    <w:rsid w:val="00B261F1"/>
    <w:rsid w:val="00B265BC"/>
    <w:rsid w:val="00B31FB1"/>
    <w:rsid w:val="00B329CE"/>
    <w:rsid w:val="00B33952"/>
    <w:rsid w:val="00B33C5E"/>
    <w:rsid w:val="00B342F4"/>
    <w:rsid w:val="00B34369"/>
    <w:rsid w:val="00B34DC2"/>
    <w:rsid w:val="00B378E5"/>
    <w:rsid w:val="00B40025"/>
    <w:rsid w:val="00B412A8"/>
    <w:rsid w:val="00B42411"/>
    <w:rsid w:val="00B4346D"/>
    <w:rsid w:val="00B440F4"/>
    <w:rsid w:val="00B443E4"/>
    <w:rsid w:val="00B44432"/>
    <w:rsid w:val="00B447A5"/>
    <w:rsid w:val="00B4654C"/>
    <w:rsid w:val="00B47293"/>
    <w:rsid w:val="00B50E50"/>
    <w:rsid w:val="00B52120"/>
    <w:rsid w:val="00B54ABC"/>
    <w:rsid w:val="00B56FBE"/>
    <w:rsid w:val="00B57B17"/>
    <w:rsid w:val="00B62B58"/>
    <w:rsid w:val="00B62D8B"/>
    <w:rsid w:val="00B65149"/>
    <w:rsid w:val="00B6605A"/>
    <w:rsid w:val="00B66567"/>
    <w:rsid w:val="00B66F52"/>
    <w:rsid w:val="00B66FE5"/>
    <w:rsid w:val="00B72880"/>
    <w:rsid w:val="00B758BF"/>
    <w:rsid w:val="00B8181E"/>
    <w:rsid w:val="00B827A6"/>
    <w:rsid w:val="00B831CE"/>
    <w:rsid w:val="00B86677"/>
    <w:rsid w:val="00B87131"/>
    <w:rsid w:val="00B939B1"/>
    <w:rsid w:val="00B96D40"/>
    <w:rsid w:val="00B97386"/>
    <w:rsid w:val="00B978DB"/>
    <w:rsid w:val="00BA263B"/>
    <w:rsid w:val="00BA41A3"/>
    <w:rsid w:val="00BA42B2"/>
    <w:rsid w:val="00BA525A"/>
    <w:rsid w:val="00BA58D4"/>
    <w:rsid w:val="00BA5B9E"/>
    <w:rsid w:val="00BA7C9A"/>
    <w:rsid w:val="00BB5F8F"/>
    <w:rsid w:val="00BB64F2"/>
    <w:rsid w:val="00BB657A"/>
    <w:rsid w:val="00BC1A4E"/>
    <w:rsid w:val="00BC5480"/>
    <w:rsid w:val="00BC597C"/>
    <w:rsid w:val="00BC5DC7"/>
    <w:rsid w:val="00BC6B41"/>
    <w:rsid w:val="00BC6B8B"/>
    <w:rsid w:val="00BC7066"/>
    <w:rsid w:val="00BC73D8"/>
    <w:rsid w:val="00BD415D"/>
    <w:rsid w:val="00BD52D7"/>
    <w:rsid w:val="00BD5AD2"/>
    <w:rsid w:val="00BD7A98"/>
    <w:rsid w:val="00BE22F3"/>
    <w:rsid w:val="00BE27EB"/>
    <w:rsid w:val="00BE47B7"/>
    <w:rsid w:val="00BE5B52"/>
    <w:rsid w:val="00BE7B8D"/>
    <w:rsid w:val="00BF0993"/>
    <w:rsid w:val="00BF0DB2"/>
    <w:rsid w:val="00BF10A9"/>
    <w:rsid w:val="00BF1703"/>
    <w:rsid w:val="00BF231C"/>
    <w:rsid w:val="00BF51E5"/>
    <w:rsid w:val="00BF74A6"/>
    <w:rsid w:val="00BF7718"/>
    <w:rsid w:val="00C013AD"/>
    <w:rsid w:val="00C01AA1"/>
    <w:rsid w:val="00C020FB"/>
    <w:rsid w:val="00C04904"/>
    <w:rsid w:val="00C056B3"/>
    <w:rsid w:val="00C06478"/>
    <w:rsid w:val="00C103E5"/>
    <w:rsid w:val="00C13319"/>
    <w:rsid w:val="00C13EE9"/>
    <w:rsid w:val="00C17305"/>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467BA"/>
    <w:rsid w:val="00C521D6"/>
    <w:rsid w:val="00C52880"/>
    <w:rsid w:val="00C55232"/>
    <w:rsid w:val="00C553A4"/>
    <w:rsid w:val="00C55A06"/>
    <w:rsid w:val="00C55D03"/>
    <w:rsid w:val="00C562B6"/>
    <w:rsid w:val="00C601BC"/>
    <w:rsid w:val="00C6329F"/>
    <w:rsid w:val="00C63340"/>
    <w:rsid w:val="00C643F9"/>
    <w:rsid w:val="00C6466F"/>
    <w:rsid w:val="00C64E95"/>
    <w:rsid w:val="00C71372"/>
    <w:rsid w:val="00C72410"/>
    <w:rsid w:val="00C7287F"/>
    <w:rsid w:val="00C80CB8"/>
    <w:rsid w:val="00C819F8"/>
    <w:rsid w:val="00C8248C"/>
    <w:rsid w:val="00C84E33"/>
    <w:rsid w:val="00C85248"/>
    <w:rsid w:val="00C86D6F"/>
    <w:rsid w:val="00C905FC"/>
    <w:rsid w:val="00C92D03"/>
    <w:rsid w:val="00C9319C"/>
    <w:rsid w:val="00C93A97"/>
    <w:rsid w:val="00C9435D"/>
    <w:rsid w:val="00C96741"/>
    <w:rsid w:val="00CA2D1B"/>
    <w:rsid w:val="00CA662A"/>
    <w:rsid w:val="00CA7AFD"/>
    <w:rsid w:val="00CA7C3C"/>
    <w:rsid w:val="00CA7FFB"/>
    <w:rsid w:val="00CB0189"/>
    <w:rsid w:val="00CB0BA2"/>
    <w:rsid w:val="00CB1A42"/>
    <w:rsid w:val="00CB1B0C"/>
    <w:rsid w:val="00CB2A75"/>
    <w:rsid w:val="00CB2C0B"/>
    <w:rsid w:val="00CB503D"/>
    <w:rsid w:val="00CB517D"/>
    <w:rsid w:val="00CB6812"/>
    <w:rsid w:val="00CB7CC7"/>
    <w:rsid w:val="00CC038D"/>
    <w:rsid w:val="00CC2C69"/>
    <w:rsid w:val="00CC39FF"/>
    <w:rsid w:val="00CC3C2F"/>
    <w:rsid w:val="00CC3DA1"/>
    <w:rsid w:val="00CC4AC8"/>
    <w:rsid w:val="00CC5233"/>
    <w:rsid w:val="00CC5DE6"/>
    <w:rsid w:val="00CC6E4E"/>
    <w:rsid w:val="00CC6FE8"/>
    <w:rsid w:val="00CC7202"/>
    <w:rsid w:val="00CD1660"/>
    <w:rsid w:val="00CD2808"/>
    <w:rsid w:val="00CD28BF"/>
    <w:rsid w:val="00CD4092"/>
    <w:rsid w:val="00CD4A20"/>
    <w:rsid w:val="00CD50A1"/>
    <w:rsid w:val="00CD519E"/>
    <w:rsid w:val="00CD5EEF"/>
    <w:rsid w:val="00CD7485"/>
    <w:rsid w:val="00CE0C4F"/>
    <w:rsid w:val="00CE1B1A"/>
    <w:rsid w:val="00CE30EA"/>
    <w:rsid w:val="00CE6A2D"/>
    <w:rsid w:val="00CF048A"/>
    <w:rsid w:val="00CF155A"/>
    <w:rsid w:val="00CF1D40"/>
    <w:rsid w:val="00CF2947"/>
    <w:rsid w:val="00CF47A1"/>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0DC0"/>
    <w:rsid w:val="00D32719"/>
    <w:rsid w:val="00D33333"/>
    <w:rsid w:val="00D34CB7"/>
    <w:rsid w:val="00D352A2"/>
    <w:rsid w:val="00D365AF"/>
    <w:rsid w:val="00D4162B"/>
    <w:rsid w:val="00D44B25"/>
    <w:rsid w:val="00D4514F"/>
    <w:rsid w:val="00D451E2"/>
    <w:rsid w:val="00D45E89"/>
    <w:rsid w:val="00D45E8D"/>
    <w:rsid w:val="00D466AE"/>
    <w:rsid w:val="00D4734F"/>
    <w:rsid w:val="00D51BF3"/>
    <w:rsid w:val="00D54B98"/>
    <w:rsid w:val="00D56D85"/>
    <w:rsid w:val="00D60606"/>
    <w:rsid w:val="00D64AA9"/>
    <w:rsid w:val="00D66846"/>
    <w:rsid w:val="00D66B06"/>
    <w:rsid w:val="00D675FB"/>
    <w:rsid w:val="00D70B7F"/>
    <w:rsid w:val="00D71F25"/>
    <w:rsid w:val="00D7610B"/>
    <w:rsid w:val="00D77031"/>
    <w:rsid w:val="00D81136"/>
    <w:rsid w:val="00D84941"/>
    <w:rsid w:val="00D84FA1"/>
    <w:rsid w:val="00D851F0"/>
    <w:rsid w:val="00D851F8"/>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070F"/>
    <w:rsid w:val="00DB38EE"/>
    <w:rsid w:val="00DB498B"/>
    <w:rsid w:val="00DB66CA"/>
    <w:rsid w:val="00DB6BCA"/>
    <w:rsid w:val="00DB7113"/>
    <w:rsid w:val="00DC0321"/>
    <w:rsid w:val="00DC096C"/>
    <w:rsid w:val="00DC1BE5"/>
    <w:rsid w:val="00DC3067"/>
    <w:rsid w:val="00DC370B"/>
    <w:rsid w:val="00DC5B90"/>
    <w:rsid w:val="00DC6D0C"/>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DF6D8A"/>
    <w:rsid w:val="00DF7584"/>
    <w:rsid w:val="00E01138"/>
    <w:rsid w:val="00E0186F"/>
    <w:rsid w:val="00E02733"/>
    <w:rsid w:val="00E028E5"/>
    <w:rsid w:val="00E02DFB"/>
    <w:rsid w:val="00E030F9"/>
    <w:rsid w:val="00E0311A"/>
    <w:rsid w:val="00E03138"/>
    <w:rsid w:val="00E04793"/>
    <w:rsid w:val="00E06404"/>
    <w:rsid w:val="00E11A85"/>
    <w:rsid w:val="00E12495"/>
    <w:rsid w:val="00E138F2"/>
    <w:rsid w:val="00E15CCD"/>
    <w:rsid w:val="00E15D9E"/>
    <w:rsid w:val="00E1700D"/>
    <w:rsid w:val="00E202EF"/>
    <w:rsid w:val="00E210B5"/>
    <w:rsid w:val="00E2552F"/>
    <w:rsid w:val="00E3137A"/>
    <w:rsid w:val="00E32213"/>
    <w:rsid w:val="00E32CCF"/>
    <w:rsid w:val="00E33542"/>
    <w:rsid w:val="00E34A98"/>
    <w:rsid w:val="00E35D1E"/>
    <w:rsid w:val="00E364F9"/>
    <w:rsid w:val="00E365FA"/>
    <w:rsid w:val="00E36789"/>
    <w:rsid w:val="00E44A83"/>
    <w:rsid w:val="00E46F9C"/>
    <w:rsid w:val="00E47C23"/>
    <w:rsid w:val="00E502C1"/>
    <w:rsid w:val="00E502DD"/>
    <w:rsid w:val="00E50D3A"/>
    <w:rsid w:val="00E51387"/>
    <w:rsid w:val="00E51E68"/>
    <w:rsid w:val="00E52EFD"/>
    <w:rsid w:val="00E5408A"/>
    <w:rsid w:val="00E5463E"/>
    <w:rsid w:val="00E56800"/>
    <w:rsid w:val="00E57797"/>
    <w:rsid w:val="00E62FF9"/>
    <w:rsid w:val="00E635D6"/>
    <w:rsid w:val="00E639BC"/>
    <w:rsid w:val="00E664CC"/>
    <w:rsid w:val="00E70388"/>
    <w:rsid w:val="00E70B15"/>
    <w:rsid w:val="00E70F92"/>
    <w:rsid w:val="00E71107"/>
    <w:rsid w:val="00E7385E"/>
    <w:rsid w:val="00E74C54"/>
    <w:rsid w:val="00E77A03"/>
    <w:rsid w:val="00E822E8"/>
    <w:rsid w:val="00E82554"/>
    <w:rsid w:val="00E82606"/>
    <w:rsid w:val="00E842C9"/>
    <w:rsid w:val="00E846C8"/>
    <w:rsid w:val="00E84957"/>
    <w:rsid w:val="00E84A55"/>
    <w:rsid w:val="00E85BFF"/>
    <w:rsid w:val="00E90391"/>
    <w:rsid w:val="00E906C2"/>
    <w:rsid w:val="00E9070B"/>
    <w:rsid w:val="00E91E6E"/>
    <w:rsid w:val="00E92807"/>
    <w:rsid w:val="00E9311F"/>
    <w:rsid w:val="00E934D1"/>
    <w:rsid w:val="00E94AF0"/>
    <w:rsid w:val="00E95D13"/>
    <w:rsid w:val="00E95DD3"/>
    <w:rsid w:val="00E969D5"/>
    <w:rsid w:val="00EA4DC2"/>
    <w:rsid w:val="00EA58D1"/>
    <w:rsid w:val="00EA61BC"/>
    <w:rsid w:val="00EA681A"/>
    <w:rsid w:val="00EA735B"/>
    <w:rsid w:val="00EA7E96"/>
    <w:rsid w:val="00EB1E69"/>
    <w:rsid w:val="00EB2086"/>
    <w:rsid w:val="00EB51B2"/>
    <w:rsid w:val="00EB5EDF"/>
    <w:rsid w:val="00EB60FE"/>
    <w:rsid w:val="00EB74DB"/>
    <w:rsid w:val="00EC1916"/>
    <w:rsid w:val="00EC5359"/>
    <w:rsid w:val="00EC562A"/>
    <w:rsid w:val="00ED067A"/>
    <w:rsid w:val="00ED0F74"/>
    <w:rsid w:val="00ED13DF"/>
    <w:rsid w:val="00ED2B50"/>
    <w:rsid w:val="00ED3C6C"/>
    <w:rsid w:val="00ED67D9"/>
    <w:rsid w:val="00EE0350"/>
    <w:rsid w:val="00EE0719"/>
    <w:rsid w:val="00EE0E80"/>
    <w:rsid w:val="00EE5840"/>
    <w:rsid w:val="00EE5F33"/>
    <w:rsid w:val="00EE613F"/>
    <w:rsid w:val="00EE7295"/>
    <w:rsid w:val="00EE7869"/>
    <w:rsid w:val="00EF054A"/>
    <w:rsid w:val="00EF3235"/>
    <w:rsid w:val="00EF5526"/>
    <w:rsid w:val="00EF7E72"/>
    <w:rsid w:val="00F01542"/>
    <w:rsid w:val="00F06D37"/>
    <w:rsid w:val="00F07B9D"/>
    <w:rsid w:val="00F10926"/>
    <w:rsid w:val="00F11586"/>
    <w:rsid w:val="00F1183B"/>
    <w:rsid w:val="00F11C9F"/>
    <w:rsid w:val="00F12263"/>
    <w:rsid w:val="00F12E75"/>
    <w:rsid w:val="00F1409D"/>
    <w:rsid w:val="00F14214"/>
    <w:rsid w:val="00F14796"/>
    <w:rsid w:val="00F157A9"/>
    <w:rsid w:val="00F23663"/>
    <w:rsid w:val="00F25BB6"/>
    <w:rsid w:val="00F26B7E"/>
    <w:rsid w:val="00F27A3B"/>
    <w:rsid w:val="00F33817"/>
    <w:rsid w:val="00F3447F"/>
    <w:rsid w:val="00F41960"/>
    <w:rsid w:val="00F420D5"/>
    <w:rsid w:val="00F43ABB"/>
    <w:rsid w:val="00F451EA"/>
    <w:rsid w:val="00F45447"/>
    <w:rsid w:val="00F456C6"/>
    <w:rsid w:val="00F4577B"/>
    <w:rsid w:val="00F46496"/>
    <w:rsid w:val="00F46C0C"/>
    <w:rsid w:val="00F474D0"/>
    <w:rsid w:val="00F50179"/>
    <w:rsid w:val="00F56511"/>
    <w:rsid w:val="00F6194E"/>
    <w:rsid w:val="00F623AC"/>
    <w:rsid w:val="00F6360A"/>
    <w:rsid w:val="00F6412A"/>
    <w:rsid w:val="00F64CAA"/>
    <w:rsid w:val="00F65893"/>
    <w:rsid w:val="00F66A4A"/>
    <w:rsid w:val="00F6761C"/>
    <w:rsid w:val="00F71175"/>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B75"/>
    <w:rsid w:val="00F97C99"/>
    <w:rsid w:val="00FA1745"/>
    <w:rsid w:val="00FA2A66"/>
    <w:rsid w:val="00FA2DFA"/>
    <w:rsid w:val="00FA662D"/>
    <w:rsid w:val="00FA6730"/>
    <w:rsid w:val="00FA73B1"/>
    <w:rsid w:val="00FB0CB9"/>
    <w:rsid w:val="00FB25D3"/>
    <w:rsid w:val="00FB45F1"/>
    <w:rsid w:val="00FB4A72"/>
    <w:rsid w:val="00FB54E8"/>
    <w:rsid w:val="00FB5BA4"/>
    <w:rsid w:val="00FB7054"/>
    <w:rsid w:val="00FC17B7"/>
    <w:rsid w:val="00FC2CB7"/>
    <w:rsid w:val="00FC4090"/>
    <w:rsid w:val="00FC55B4"/>
    <w:rsid w:val="00FC754F"/>
    <w:rsid w:val="00FD00E6"/>
    <w:rsid w:val="00FD09A1"/>
    <w:rsid w:val="00FD2A7C"/>
    <w:rsid w:val="00FD59EB"/>
    <w:rsid w:val="00FD7299"/>
    <w:rsid w:val="00FE1735"/>
    <w:rsid w:val="00FE1FBE"/>
    <w:rsid w:val="00FE3901"/>
    <w:rsid w:val="00FE39D3"/>
    <w:rsid w:val="00FE4BCE"/>
    <w:rsid w:val="00FE54AE"/>
    <w:rsid w:val="00FE576A"/>
    <w:rsid w:val="00FE7E79"/>
    <w:rsid w:val="00FF10AF"/>
    <w:rsid w:val="00FF26C0"/>
    <w:rsid w:val="00FF3E7D"/>
    <w:rsid w:val="00FF5B99"/>
    <w:rsid w:val="00FF730C"/>
    <w:rsid w:val="00FF73F4"/>
    <w:rsid w:val="00FF7CE4"/>
    <w:rsid w:val="00FF7E39"/>
    <w:rsid w:val="01F736BA"/>
    <w:rsid w:val="08C654CC"/>
    <w:rsid w:val="09F261F4"/>
    <w:rsid w:val="0A3C16D8"/>
    <w:rsid w:val="11CA1A52"/>
    <w:rsid w:val="14F07947"/>
    <w:rsid w:val="1B473E56"/>
    <w:rsid w:val="1F522D17"/>
    <w:rsid w:val="1F5C52E1"/>
    <w:rsid w:val="23AF38D7"/>
    <w:rsid w:val="2433634D"/>
    <w:rsid w:val="244664A3"/>
    <w:rsid w:val="2610471B"/>
    <w:rsid w:val="26237776"/>
    <w:rsid w:val="274A10E2"/>
    <w:rsid w:val="27941079"/>
    <w:rsid w:val="2B4541B5"/>
    <w:rsid w:val="2C950081"/>
    <w:rsid w:val="2CC73AB6"/>
    <w:rsid w:val="317121E0"/>
    <w:rsid w:val="38A20E7E"/>
    <w:rsid w:val="3A845EE4"/>
    <w:rsid w:val="3E0141D8"/>
    <w:rsid w:val="4093741C"/>
    <w:rsid w:val="43B65BC2"/>
    <w:rsid w:val="47434F4B"/>
    <w:rsid w:val="479E2FE2"/>
    <w:rsid w:val="56A10B2C"/>
    <w:rsid w:val="57697CE9"/>
    <w:rsid w:val="59166239"/>
    <w:rsid w:val="5CB83D85"/>
    <w:rsid w:val="5EB05275"/>
    <w:rsid w:val="6005518C"/>
    <w:rsid w:val="61FA2307"/>
    <w:rsid w:val="640416C3"/>
    <w:rsid w:val="659E78E1"/>
    <w:rsid w:val="679D1845"/>
    <w:rsid w:val="69E8551C"/>
    <w:rsid w:val="6C36494F"/>
    <w:rsid w:val="72AF198C"/>
    <w:rsid w:val="7A7D6A0A"/>
    <w:rsid w:val="7B6F54BD"/>
    <w:rsid w:val="7D166367"/>
    <w:rsid w:val="7E6E25E7"/>
    <w:rsid w:val="7F9F2359"/>
    <w:rsid w:val="7FA26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0"/>
    <w:qFormat/>
    <w:uiPriority w:val="0"/>
    <w:pPr>
      <w:keepNext/>
      <w:keepLines/>
      <w:spacing w:before="260" w:after="260" w:line="416" w:lineRule="auto"/>
      <w:outlineLvl w:val="2"/>
    </w:pPr>
    <w:rPr>
      <w:b/>
      <w:bCs/>
      <w:sz w:val="32"/>
      <w:szCs w:val="32"/>
    </w:rPr>
  </w:style>
  <w:style w:type="paragraph" w:styleId="5">
    <w:name w:val="heading 4"/>
    <w:basedOn w:val="1"/>
    <w:next w:val="1"/>
    <w:link w:val="4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2"/>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3"/>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4"/>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5"/>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6"/>
    <w:qFormat/>
    <w:uiPriority w:val="0"/>
    <w:pPr>
      <w:keepNext/>
      <w:keepLines/>
      <w:adjustRightInd/>
      <w:spacing w:before="240" w:after="64" w:line="320" w:lineRule="auto"/>
      <w:outlineLvl w:val="8"/>
    </w:pPr>
    <w:rPr>
      <w:rFonts w:ascii="Arial" w:hAnsi="Arial" w:eastAsia="黑体"/>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44"/>
    <w:unhideWhenUsed/>
    <w:qFormat/>
    <w:uiPriority w:val="99"/>
    <w:pPr>
      <w:jc w:val="left"/>
    </w:pPr>
  </w:style>
  <w:style w:type="paragraph" w:styleId="14">
    <w:name w:val="Body Text"/>
    <w:basedOn w:val="1"/>
    <w:link w:val="90"/>
    <w:qFormat/>
    <w:uiPriority w:val="1"/>
    <w:pPr>
      <w:spacing w:after="120"/>
    </w:pPr>
  </w:style>
  <w:style w:type="paragraph" w:styleId="15">
    <w:name w:val="Body Text Indent"/>
    <w:basedOn w:val="1"/>
    <w:link w:val="236"/>
    <w:semiHidden/>
    <w:unhideWhenUsed/>
    <w:qFormat/>
    <w:uiPriority w:val="99"/>
    <w:pPr>
      <w:spacing w:after="120"/>
      <w:ind w:left="420" w:leftChars="200"/>
    </w:pPr>
  </w:style>
  <w:style w:type="paragraph" w:styleId="16">
    <w:name w:val="toc 5"/>
    <w:basedOn w:val="1"/>
    <w:next w:val="1"/>
    <w:unhideWhenUsed/>
    <w:qFormat/>
    <w:uiPriority w:val="39"/>
    <w:pPr>
      <w:ind w:left="839"/>
    </w:pPr>
    <w:rPr>
      <w:rFonts w:ascii="宋体"/>
    </w:rPr>
  </w:style>
  <w:style w:type="paragraph" w:styleId="17">
    <w:name w:val="toc 3"/>
    <w:basedOn w:val="1"/>
    <w:next w:val="1"/>
    <w:unhideWhenUsed/>
    <w:qFormat/>
    <w:uiPriority w:val="39"/>
    <w:pPr>
      <w:spacing w:line="300" w:lineRule="exact"/>
      <w:ind w:left="420"/>
    </w:pPr>
    <w:rPr>
      <w:rFonts w:ascii="宋体"/>
    </w:rPr>
  </w:style>
  <w:style w:type="paragraph" w:styleId="18">
    <w:name w:val="Balloon Text"/>
    <w:basedOn w:val="1"/>
    <w:link w:val="49"/>
    <w:semiHidden/>
    <w:unhideWhenUsed/>
    <w:qFormat/>
    <w:uiPriority w:val="99"/>
    <w:rPr>
      <w:sz w:val="18"/>
      <w:szCs w:val="18"/>
    </w:rPr>
  </w:style>
  <w:style w:type="paragraph" w:styleId="19">
    <w:name w:val="footer"/>
    <w:basedOn w:val="1"/>
    <w:link w:val="48"/>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7"/>
    <w:qFormat/>
    <w:uiPriority w:val="99"/>
    <w:pPr>
      <w:tabs>
        <w:tab w:val="center" w:pos="4153"/>
        <w:tab w:val="right" w:pos="8306"/>
      </w:tabs>
      <w:adjustRightInd/>
      <w:snapToGrid w:val="0"/>
      <w:jc w:val="center"/>
    </w:pPr>
    <w:rPr>
      <w:sz w:val="18"/>
      <w:szCs w:val="18"/>
    </w:rPr>
  </w:style>
  <w:style w:type="paragraph" w:styleId="21">
    <w:name w:val="toc 1"/>
    <w:basedOn w:val="1"/>
    <w:next w:val="1"/>
    <w:unhideWhenUsed/>
    <w:qFormat/>
    <w:uiPriority w:val="39"/>
    <w:rPr>
      <w:rFonts w:ascii="宋体"/>
    </w:rPr>
  </w:style>
  <w:style w:type="paragraph" w:styleId="22">
    <w:name w:val="toc 4"/>
    <w:basedOn w:val="1"/>
    <w:next w:val="1"/>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3"/>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Normal (Web)"/>
    <w:basedOn w:val="1"/>
    <w:semiHidden/>
    <w:unhideWhenUsed/>
    <w:qFormat/>
    <w:uiPriority w:val="99"/>
    <w:pPr>
      <w:spacing w:beforeAutospacing="1" w:afterAutospacing="1"/>
      <w:jc w:val="left"/>
    </w:pPr>
    <w:rPr>
      <w:kern w:val="0"/>
      <w:sz w:val="24"/>
    </w:rPr>
  </w:style>
  <w:style w:type="paragraph" w:styleId="28">
    <w:name w:val="Title"/>
    <w:basedOn w:val="1"/>
    <w:link w:val="52"/>
    <w:qFormat/>
    <w:uiPriority w:val="0"/>
    <w:pPr>
      <w:spacing w:before="240" w:after="60"/>
      <w:jc w:val="center"/>
      <w:outlineLvl w:val="0"/>
    </w:pPr>
    <w:rPr>
      <w:rFonts w:ascii="Arial" w:hAnsi="Arial" w:cs="Arial"/>
      <w:b/>
      <w:bCs/>
      <w:sz w:val="32"/>
      <w:szCs w:val="32"/>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page number"/>
    <w:qFormat/>
    <w:uiPriority w:val="0"/>
    <w:rPr>
      <w:rFonts w:ascii="宋体" w:hAnsi="Times New Roman" w:eastAsia="宋体"/>
      <w:sz w:val="18"/>
    </w:rPr>
  </w:style>
  <w:style w:type="character" w:styleId="34">
    <w:name w:val="Emphasis"/>
    <w:qFormat/>
    <w:uiPriority w:val="20"/>
    <w:rPr>
      <w:i/>
      <w:iCs/>
    </w:rPr>
  </w:style>
  <w:style w:type="character" w:styleId="35">
    <w:name w:val="Hyperlink"/>
    <w:qFormat/>
    <w:uiPriority w:val="99"/>
    <w:rPr>
      <w:rFonts w:ascii="宋体" w:hAnsi="Times New Roman" w:eastAsia="宋体"/>
      <w:color w:val="auto"/>
      <w:spacing w:val="0"/>
      <w:w w:val="100"/>
      <w:position w:val="0"/>
      <w:sz w:val="21"/>
      <w:u w:val="none"/>
      <w:vertAlign w:val="baseline"/>
    </w:rPr>
  </w:style>
  <w:style w:type="character" w:styleId="36">
    <w:name w:val="annotation reference"/>
    <w:basedOn w:val="31"/>
    <w:unhideWhenUsed/>
    <w:qFormat/>
    <w:uiPriority w:val="99"/>
    <w:rPr>
      <w:sz w:val="21"/>
      <w:szCs w:val="21"/>
    </w:rPr>
  </w:style>
  <w:style w:type="character" w:styleId="37">
    <w:name w:val="footnote reference"/>
    <w:semiHidden/>
    <w:qFormat/>
    <w:uiPriority w:val="0"/>
    <w:rPr>
      <w:rFonts w:ascii="宋体" w:hAnsi="宋体" w:eastAsia="宋体" w:cs="Times New Roman"/>
      <w:spacing w:val="0"/>
      <w:sz w:val="18"/>
      <w:vertAlign w:val="superscript"/>
    </w:rPr>
  </w:style>
  <w:style w:type="character" w:customStyle="1" w:styleId="38">
    <w:name w:val="标题 1 字符"/>
    <w:link w:val="2"/>
    <w:qFormat/>
    <w:uiPriority w:val="0"/>
    <w:rPr>
      <w:b/>
      <w:bCs/>
      <w:kern w:val="44"/>
      <w:sz w:val="44"/>
      <w:szCs w:val="44"/>
    </w:rPr>
  </w:style>
  <w:style w:type="character" w:customStyle="1" w:styleId="39">
    <w:name w:val="标题 2 字符"/>
    <w:link w:val="3"/>
    <w:qFormat/>
    <w:uiPriority w:val="0"/>
    <w:rPr>
      <w:rFonts w:ascii="Arial" w:hAnsi="Arial" w:eastAsia="黑体"/>
      <w:b/>
      <w:bCs/>
      <w:kern w:val="2"/>
      <w:sz w:val="32"/>
      <w:szCs w:val="32"/>
    </w:rPr>
  </w:style>
  <w:style w:type="character" w:customStyle="1" w:styleId="40">
    <w:name w:val="标题 3 字符"/>
    <w:link w:val="4"/>
    <w:qFormat/>
    <w:uiPriority w:val="0"/>
    <w:rPr>
      <w:b/>
      <w:bCs/>
      <w:kern w:val="2"/>
      <w:sz w:val="32"/>
      <w:szCs w:val="32"/>
    </w:rPr>
  </w:style>
  <w:style w:type="character" w:customStyle="1" w:styleId="41">
    <w:name w:val="标题 4 字符"/>
    <w:link w:val="5"/>
    <w:qFormat/>
    <w:uiPriority w:val="0"/>
    <w:rPr>
      <w:rFonts w:ascii="Arial" w:hAnsi="Arial" w:eastAsia="黑体"/>
      <w:b/>
      <w:bCs/>
      <w:kern w:val="2"/>
      <w:sz w:val="28"/>
      <w:szCs w:val="28"/>
    </w:rPr>
  </w:style>
  <w:style w:type="character" w:customStyle="1" w:styleId="42">
    <w:name w:val="标题 5 字符"/>
    <w:link w:val="6"/>
    <w:qFormat/>
    <w:uiPriority w:val="0"/>
    <w:rPr>
      <w:b/>
      <w:bCs/>
      <w:kern w:val="2"/>
      <w:sz w:val="28"/>
      <w:szCs w:val="28"/>
    </w:rPr>
  </w:style>
  <w:style w:type="character" w:customStyle="1" w:styleId="43">
    <w:name w:val="标题 6 字符"/>
    <w:link w:val="7"/>
    <w:qFormat/>
    <w:uiPriority w:val="0"/>
    <w:rPr>
      <w:rFonts w:ascii="Arial" w:hAnsi="Arial" w:eastAsia="黑体"/>
      <w:b/>
      <w:bCs/>
      <w:kern w:val="2"/>
      <w:sz w:val="24"/>
      <w:szCs w:val="24"/>
    </w:rPr>
  </w:style>
  <w:style w:type="character" w:customStyle="1" w:styleId="44">
    <w:name w:val="标题 7 字符"/>
    <w:link w:val="8"/>
    <w:qFormat/>
    <w:uiPriority w:val="0"/>
    <w:rPr>
      <w:b/>
      <w:bCs/>
      <w:kern w:val="2"/>
      <w:sz w:val="24"/>
      <w:szCs w:val="24"/>
    </w:rPr>
  </w:style>
  <w:style w:type="character" w:customStyle="1" w:styleId="45">
    <w:name w:val="标题 8 字符"/>
    <w:link w:val="9"/>
    <w:qFormat/>
    <w:uiPriority w:val="0"/>
    <w:rPr>
      <w:rFonts w:ascii="Arial" w:hAnsi="Arial" w:eastAsia="黑体"/>
      <w:kern w:val="2"/>
      <w:sz w:val="24"/>
      <w:szCs w:val="24"/>
    </w:rPr>
  </w:style>
  <w:style w:type="character" w:customStyle="1" w:styleId="46">
    <w:name w:val="标题 9 字符"/>
    <w:link w:val="10"/>
    <w:qFormat/>
    <w:uiPriority w:val="0"/>
    <w:rPr>
      <w:rFonts w:ascii="Arial" w:hAnsi="Arial" w:eastAsia="黑体"/>
      <w:kern w:val="2"/>
      <w:sz w:val="21"/>
      <w:szCs w:val="21"/>
    </w:rPr>
  </w:style>
  <w:style w:type="character" w:customStyle="1" w:styleId="47">
    <w:name w:val="页眉 字符"/>
    <w:link w:val="20"/>
    <w:qFormat/>
    <w:uiPriority w:val="99"/>
    <w:rPr>
      <w:kern w:val="2"/>
      <w:sz w:val="18"/>
      <w:szCs w:val="18"/>
    </w:rPr>
  </w:style>
  <w:style w:type="character" w:customStyle="1" w:styleId="48">
    <w:name w:val="页脚 字符"/>
    <w:link w:val="19"/>
    <w:qFormat/>
    <w:uiPriority w:val="99"/>
    <w:rPr>
      <w:rFonts w:ascii="宋体"/>
      <w:kern w:val="2"/>
      <w:sz w:val="18"/>
      <w:szCs w:val="18"/>
    </w:rPr>
  </w:style>
  <w:style w:type="character" w:customStyle="1" w:styleId="49">
    <w:name w:val="批注框文本 字符"/>
    <w:link w:val="18"/>
    <w:semiHidden/>
    <w:qFormat/>
    <w:uiPriority w:val="99"/>
    <w:rPr>
      <w:kern w:val="2"/>
      <w:sz w:val="18"/>
      <w:szCs w:val="18"/>
    </w:rPr>
  </w:style>
  <w:style w:type="paragraph" w:styleId="50">
    <w:name w:val="Quote"/>
    <w:basedOn w:val="1"/>
    <w:next w:val="1"/>
    <w:link w:val="51"/>
    <w:qFormat/>
    <w:uiPriority w:val="29"/>
    <w:rPr>
      <w:i/>
      <w:iCs/>
      <w:color w:val="000000"/>
    </w:rPr>
  </w:style>
  <w:style w:type="character" w:customStyle="1" w:styleId="51">
    <w:name w:val="引用 字符"/>
    <w:link w:val="50"/>
    <w:qFormat/>
    <w:uiPriority w:val="29"/>
    <w:rPr>
      <w:i/>
      <w:iCs/>
      <w:color w:val="000000"/>
      <w:kern w:val="2"/>
      <w:sz w:val="21"/>
      <w:szCs w:val="21"/>
    </w:rPr>
  </w:style>
  <w:style w:type="character" w:customStyle="1" w:styleId="52">
    <w:name w:val="标题 字符"/>
    <w:link w:val="28"/>
    <w:qFormat/>
    <w:uiPriority w:val="0"/>
    <w:rPr>
      <w:rFonts w:ascii="Arial" w:hAnsi="Arial" w:cs="Arial"/>
      <w:b/>
      <w:bCs/>
      <w:kern w:val="2"/>
      <w:sz w:val="32"/>
      <w:szCs w:val="32"/>
    </w:rPr>
  </w:style>
  <w:style w:type="paragraph" w:customStyle="1" w:styleId="5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5">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6">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7">
    <w:name w:val="标准书眉一"/>
    <w:qFormat/>
    <w:uiPriority w:val="0"/>
    <w:pPr>
      <w:jc w:val="both"/>
    </w:pPr>
    <w:rPr>
      <w:rFonts w:ascii="Times New Roman" w:hAnsi="Times New Roman" w:eastAsia="宋体" w:cs="Times New Roman"/>
      <w:lang w:val="en-US" w:eastAsia="zh-CN" w:bidi="ar-SA"/>
    </w:rPr>
  </w:style>
  <w:style w:type="paragraph" w:customStyle="1" w:styleId="58">
    <w:name w:val="标准文件_ICS"/>
    <w:basedOn w:val="1"/>
    <w:qFormat/>
    <w:uiPriority w:val="0"/>
    <w:pPr>
      <w:spacing w:line="0" w:lineRule="atLeast"/>
    </w:pPr>
    <w:rPr>
      <w:rFonts w:ascii="黑体" w:hAnsi="宋体" w:eastAsia="黑体"/>
    </w:rPr>
  </w:style>
  <w:style w:type="paragraph" w:customStyle="1" w:styleId="59">
    <w:name w:val="标准文件_标准正文"/>
    <w:basedOn w:val="1"/>
    <w:next w:val="60"/>
    <w:qFormat/>
    <w:uiPriority w:val="0"/>
    <w:pPr>
      <w:snapToGrid w:val="0"/>
      <w:ind w:firstLine="200" w:firstLineChars="200"/>
    </w:pPr>
    <w:rPr>
      <w:kern w:val="0"/>
    </w:rPr>
  </w:style>
  <w:style w:type="paragraph" w:customStyle="1" w:styleId="60">
    <w:name w:val="标准文件_段"/>
    <w:link w:val="18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标准文件_版本"/>
    <w:basedOn w:val="59"/>
    <w:qFormat/>
    <w:uiPriority w:val="0"/>
    <w:pPr>
      <w:adjustRightInd/>
      <w:snapToGrid/>
      <w:ind w:firstLine="0" w:firstLineChars="0"/>
    </w:pPr>
    <w:rPr>
      <w:rFonts w:ascii="宋体" w:hAnsi="宋体"/>
      <w:kern w:val="2"/>
    </w:rPr>
  </w:style>
  <w:style w:type="paragraph" w:customStyle="1" w:styleId="62">
    <w:name w:val="标准文件_标准部门"/>
    <w:basedOn w:val="1"/>
    <w:qFormat/>
    <w:uiPriority w:val="0"/>
    <w:pPr>
      <w:jc w:val="center"/>
    </w:pPr>
    <w:rPr>
      <w:rFonts w:ascii="黑体" w:eastAsia="黑体"/>
      <w:kern w:val="0"/>
      <w:sz w:val="44"/>
    </w:rPr>
  </w:style>
  <w:style w:type="paragraph" w:customStyle="1" w:styleId="63">
    <w:name w:val="标准文件_标准代替"/>
    <w:basedOn w:val="1"/>
    <w:next w:val="1"/>
    <w:qFormat/>
    <w:uiPriority w:val="0"/>
    <w:pPr>
      <w:spacing w:line="310" w:lineRule="exact"/>
      <w:jc w:val="right"/>
    </w:pPr>
    <w:rPr>
      <w:rFonts w:ascii="宋体" w:hAnsi="宋体"/>
      <w:kern w:val="0"/>
    </w:rPr>
  </w:style>
  <w:style w:type="paragraph" w:customStyle="1" w:styleId="64">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5">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6">
    <w:name w:val="标准文件_页眉偶数页"/>
    <w:basedOn w:val="65"/>
    <w:next w:val="1"/>
    <w:qFormat/>
    <w:uiPriority w:val="0"/>
    <w:pPr>
      <w:jc w:val="left"/>
    </w:pPr>
  </w:style>
  <w:style w:type="paragraph" w:customStyle="1" w:styleId="67">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8">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9">
    <w:name w:val="标准文件_二级条标题"/>
    <w:next w:val="60"/>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70">
    <w:name w:val="标准文件_发布"/>
    <w:qFormat/>
    <w:uiPriority w:val="0"/>
    <w:rPr>
      <w:rFonts w:ascii="黑体" w:eastAsia="黑体"/>
      <w:spacing w:val="0"/>
      <w:w w:val="100"/>
      <w:position w:val="3"/>
      <w:sz w:val="28"/>
    </w:rPr>
  </w:style>
  <w:style w:type="paragraph" w:customStyle="1" w:styleId="71">
    <w:name w:val="标准文件_方框数字列项"/>
    <w:basedOn w:val="60"/>
    <w:qFormat/>
    <w:uiPriority w:val="0"/>
    <w:pPr>
      <w:numPr>
        <w:ilvl w:val="0"/>
        <w:numId w:val="3"/>
      </w:numPr>
      <w:ind w:firstLine="0" w:firstLineChars="0"/>
    </w:pPr>
  </w:style>
  <w:style w:type="paragraph" w:customStyle="1" w:styleId="72">
    <w:name w:val="标准文件_封面标准编号"/>
    <w:basedOn w:val="1"/>
    <w:next w:val="63"/>
    <w:qFormat/>
    <w:uiPriority w:val="0"/>
    <w:pPr>
      <w:spacing w:line="310" w:lineRule="exact"/>
      <w:jc w:val="right"/>
    </w:pPr>
    <w:rPr>
      <w:rFonts w:ascii="黑体" w:eastAsia="黑体"/>
      <w:kern w:val="0"/>
      <w:sz w:val="28"/>
    </w:rPr>
  </w:style>
  <w:style w:type="paragraph" w:customStyle="1" w:styleId="73">
    <w:name w:val="标准文件_封面标准分类号"/>
    <w:basedOn w:val="1"/>
    <w:qFormat/>
    <w:uiPriority w:val="0"/>
    <w:rPr>
      <w:rFonts w:ascii="黑体" w:eastAsia="黑体"/>
      <w:b/>
      <w:kern w:val="0"/>
      <w:sz w:val="28"/>
    </w:rPr>
  </w:style>
  <w:style w:type="paragraph" w:customStyle="1" w:styleId="74">
    <w:name w:val="标准文件_封面标准名称"/>
    <w:basedOn w:val="1"/>
    <w:qFormat/>
    <w:uiPriority w:val="0"/>
    <w:pPr>
      <w:spacing w:line="240" w:lineRule="auto"/>
      <w:jc w:val="center"/>
    </w:pPr>
    <w:rPr>
      <w:rFonts w:ascii="黑体" w:eastAsia="黑体"/>
      <w:kern w:val="0"/>
      <w:sz w:val="52"/>
    </w:rPr>
  </w:style>
  <w:style w:type="paragraph" w:customStyle="1" w:styleId="75">
    <w:name w:val="标准文件_封面标准英文名称"/>
    <w:basedOn w:val="1"/>
    <w:qFormat/>
    <w:uiPriority w:val="0"/>
    <w:pPr>
      <w:spacing w:line="240" w:lineRule="auto"/>
      <w:jc w:val="center"/>
    </w:pPr>
    <w:rPr>
      <w:rFonts w:ascii="黑体" w:eastAsia="黑体"/>
      <w:b/>
      <w:sz w:val="28"/>
    </w:rPr>
  </w:style>
  <w:style w:type="paragraph" w:customStyle="1" w:styleId="76">
    <w:name w:val="标准文件_封面发布日期"/>
    <w:basedOn w:val="1"/>
    <w:qFormat/>
    <w:uiPriority w:val="0"/>
    <w:pPr>
      <w:spacing w:line="310" w:lineRule="exact"/>
    </w:pPr>
    <w:rPr>
      <w:rFonts w:ascii="黑体" w:eastAsia="黑体"/>
      <w:kern w:val="0"/>
      <w:sz w:val="28"/>
    </w:rPr>
  </w:style>
  <w:style w:type="paragraph" w:customStyle="1" w:styleId="77">
    <w:name w:val="标准文件_封面密级"/>
    <w:basedOn w:val="1"/>
    <w:qFormat/>
    <w:uiPriority w:val="0"/>
    <w:rPr>
      <w:rFonts w:eastAsia="黑体"/>
      <w:sz w:val="32"/>
    </w:rPr>
  </w:style>
  <w:style w:type="paragraph" w:customStyle="1" w:styleId="78">
    <w:name w:val="标准文件_封面实施日期"/>
    <w:basedOn w:val="1"/>
    <w:qFormat/>
    <w:uiPriority w:val="0"/>
    <w:pPr>
      <w:spacing w:line="310" w:lineRule="exact"/>
      <w:jc w:val="right"/>
    </w:pPr>
    <w:rPr>
      <w:rFonts w:ascii="黑体" w:eastAsia="黑体"/>
      <w:sz w:val="28"/>
    </w:rPr>
  </w:style>
  <w:style w:type="paragraph" w:customStyle="1" w:styleId="79">
    <w:name w:val="标准文件_封面抬头"/>
    <w:basedOn w:val="60"/>
    <w:qFormat/>
    <w:uiPriority w:val="0"/>
    <w:pPr>
      <w:adjustRightInd w:val="0"/>
      <w:spacing w:line="800" w:lineRule="exact"/>
      <w:ind w:firstLine="0" w:firstLineChars="0"/>
      <w:jc w:val="distribute"/>
    </w:pPr>
    <w:rPr>
      <w:rFonts w:ascii="黑体" w:eastAsia="黑体"/>
      <w:b/>
      <w:sz w:val="64"/>
    </w:rPr>
  </w:style>
  <w:style w:type="paragraph" w:customStyle="1" w:styleId="80">
    <w:name w:val="标准文件_附录标识"/>
    <w:next w:val="60"/>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1">
    <w:name w:val="标准文件_附录表标题"/>
    <w:next w:val="60"/>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2">
    <w:name w:val="标准文件_附录一级条标题"/>
    <w:next w:val="60"/>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3">
    <w:name w:val="标准文件_附录二级条标题"/>
    <w:basedOn w:val="82"/>
    <w:next w:val="60"/>
    <w:qFormat/>
    <w:uiPriority w:val="0"/>
    <w:pPr>
      <w:widowControl/>
      <w:numPr>
        <w:ilvl w:val="2"/>
      </w:numPr>
      <w:wordWrap w:val="0"/>
      <w:overflowPunct w:val="0"/>
      <w:autoSpaceDE w:val="0"/>
      <w:autoSpaceDN w:val="0"/>
      <w:textAlignment w:val="baseline"/>
      <w:outlineLvl w:val="3"/>
    </w:pPr>
  </w:style>
  <w:style w:type="paragraph" w:customStyle="1" w:styleId="84">
    <w:name w:val="标准文件_附录公式"/>
    <w:basedOn w:val="59"/>
    <w:next w:val="59"/>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5">
    <w:name w:val="标准文件_附录三级条标题"/>
    <w:next w:val="60"/>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6">
    <w:name w:val="标准文件_附录四级条标题"/>
    <w:next w:val="60"/>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7">
    <w:name w:val="标准文件_附录图标题"/>
    <w:next w:val="60"/>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8">
    <w:name w:val="标准文件_附录五级条标题"/>
    <w:next w:val="60"/>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9">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0">
    <w:name w:val="正文文本 字符"/>
    <w:link w:val="14"/>
    <w:qFormat/>
    <w:uiPriority w:val="1"/>
    <w:rPr>
      <w:kern w:val="2"/>
      <w:sz w:val="21"/>
      <w:szCs w:val="21"/>
    </w:rPr>
  </w:style>
  <w:style w:type="paragraph" w:customStyle="1" w:styleId="91">
    <w:name w:val="标准文件_附录章标题"/>
    <w:next w:val="60"/>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2">
    <w:name w:val="标准文件_公式后的破折号"/>
    <w:basedOn w:val="60"/>
    <w:next w:val="60"/>
    <w:qFormat/>
    <w:uiPriority w:val="0"/>
    <w:pPr>
      <w:ind w:left="488" w:leftChars="200" w:hanging="289" w:hangingChars="290"/>
    </w:pPr>
  </w:style>
  <w:style w:type="paragraph" w:customStyle="1" w:styleId="93">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4">
    <w:name w:val="标准文件_目次、标准名称标题"/>
    <w:basedOn w:val="93"/>
    <w:next w:val="60"/>
    <w:qFormat/>
    <w:uiPriority w:val="0"/>
    <w:pPr>
      <w:spacing w:line="460" w:lineRule="exact"/>
      <w:ind w:left="0" w:firstLine="0"/>
    </w:pPr>
  </w:style>
  <w:style w:type="paragraph" w:customStyle="1" w:styleId="95">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6">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7">
    <w:name w:val="标准文件_破折号列项（二级）"/>
    <w:basedOn w:val="96"/>
    <w:qFormat/>
    <w:uiPriority w:val="0"/>
    <w:pPr>
      <w:numPr>
        <w:numId w:val="10"/>
      </w:numPr>
    </w:pPr>
  </w:style>
  <w:style w:type="paragraph" w:customStyle="1" w:styleId="98">
    <w:name w:val="标准文件_三级条标题"/>
    <w:basedOn w:val="69"/>
    <w:next w:val="60"/>
    <w:qFormat/>
    <w:uiPriority w:val="0"/>
    <w:pPr>
      <w:widowControl/>
      <w:numPr>
        <w:ilvl w:val="4"/>
        <w:numId w:val="0"/>
      </w:numPr>
      <w:outlineLvl w:val="3"/>
    </w:pPr>
  </w:style>
  <w:style w:type="character" w:customStyle="1" w:styleId="99">
    <w:name w:val="不明显参考1"/>
    <w:qFormat/>
    <w:uiPriority w:val="31"/>
    <w:rPr>
      <w:smallCaps/>
      <w:color w:val="C0504D"/>
      <w:u w:val="single"/>
    </w:rPr>
  </w:style>
  <w:style w:type="paragraph" w:customStyle="1" w:styleId="100">
    <w:name w:val="标准文件_示例后续"/>
    <w:basedOn w:val="1"/>
    <w:qFormat/>
    <w:uiPriority w:val="0"/>
    <w:pPr>
      <w:adjustRightInd/>
      <w:spacing w:line="240" w:lineRule="auto"/>
      <w:ind w:firstLine="200" w:firstLineChars="200"/>
    </w:pPr>
    <w:rPr>
      <w:sz w:val="18"/>
      <w:szCs w:val="24"/>
    </w:rPr>
  </w:style>
  <w:style w:type="paragraph" w:customStyle="1" w:styleId="101">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2">
    <w:name w:val="标准文件_四级条标题"/>
    <w:next w:val="60"/>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3">
    <w:name w:val="脚注文本 字符"/>
    <w:link w:val="23"/>
    <w:semiHidden/>
    <w:qFormat/>
    <w:uiPriority w:val="0"/>
    <w:rPr>
      <w:rFonts w:ascii="宋体"/>
      <w:kern w:val="2"/>
      <w:sz w:val="18"/>
      <w:szCs w:val="18"/>
    </w:rPr>
  </w:style>
  <w:style w:type="paragraph" w:customStyle="1" w:styleId="104">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5">
    <w:name w:val="标准文件_图表脚注"/>
    <w:basedOn w:val="1"/>
    <w:next w:val="60"/>
    <w:qFormat/>
    <w:uiPriority w:val="0"/>
    <w:pPr>
      <w:numPr>
        <w:ilvl w:val="0"/>
        <w:numId w:val="12"/>
      </w:numPr>
      <w:spacing w:line="240" w:lineRule="auto"/>
      <w:jc w:val="left"/>
    </w:pPr>
    <w:rPr>
      <w:rFonts w:ascii="宋体" w:hAnsi="宋体"/>
      <w:sz w:val="18"/>
    </w:rPr>
  </w:style>
  <w:style w:type="character" w:customStyle="1" w:styleId="106">
    <w:name w:val="标准文件_图表脚注内容"/>
    <w:qFormat/>
    <w:uiPriority w:val="0"/>
    <w:rPr>
      <w:rFonts w:ascii="宋体" w:hAnsi="宋体" w:eastAsia="宋体" w:cs="Times New Roman"/>
      <w:spacing w:val="0"/>
      <w:sz w:val="18"/>
      <w:vertAlign w:val="superscript"/>
    </w:rPr>
  </w:style>
  <w:style w:type="paragraph" w:customStyle="1" w:styleId="107">
    <w:name w:val="标准文件_五级条标题"/>
    <w:next w:val="60"/>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8">
    <w:name w:val="标准文件_章标题"/>
    <w:next w:val="60"/>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9">
    <w:name w:val="标准文件_一级条标题"/>
    <w:basedOn w:val="108"/>
    <w:next w:val="60"/>
    <w:qFormat/>
    <w:uiPriority w:val="0"/>
    <w:pPr>
      <w:numPr>
        <w:ilvl w:val="2"/>
      </w:numPr>
      <w:spacing w:before="50" w:beforeLines="50" w:after="50" w:afterLines="50"/>
      <w:outlineLvl w:val="1"/>
    </w:pPr>
  </w:style>
  <w:style w:type="paragraph" w:customStyle="1" w:styleId="110">
    <w:name w:val="标准文件_一致程度"/>
    <w:basedOn w:val="1"/>
    <w:qFormat/>
    <w:uiPriority w:val="0"/>
    <w:pPr>
      <w:spacing w:line="440" w:lineRule="exact"/>
      <w:jc w:val="center"/>
    </w:pPr>
    <w:rPr>
      <w:sz w:val="28"/>
    </w:rPr>
  </w:style>
  <w:style w:type="paragraph" w:customStyle="1" w:styleId="111">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2">
    <w:name w:val="标准文件_英文图表脚注"/>
    <w:basedOn w:val="59"/>
    <w:qFormat/>
    <w:uiPriority w:val="0"/>
    <w:pPr>
      <w:widowControl/>
      <w:adjustRightInd/>
      <w:snapToGrid/>
      <w:spacing w:line="240" w:lineRule="auto"/>
      <w:ind w:left="79" w:hanging="79" w:hangingChars="80"/>
    </w:pPr>
    <w:rPr>
      <w:rFonts w:ascii="宋体" w:hAnsi="宋体"/>
    </w:rPr>
  </w:style>
  <w:style w:type="paragraph" w:customStyle="1" w:styleId="113">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4">
    <w:name w:val="标准文件_英文注："/>
    <w:basedOn w:val="1"/>
    <w:next w:val="60"/>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5">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6">
    <w:name w:val="标准文件_正文表标题"/>
    <w:next w:val="60"/>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公式"/>
    <w:basedOn w:val="1"/>
    <w:next w:val="59"/>
    <w:qFormat/>
    <w:uiPriority w:val="0"/>
    <w:pPr>
      <w:tabs>
        <w:tab w:val="center" w:pos="4678"/>
        <w:tab w:val="right" w:leader="middleDot" w:pos="9356"/>
      </w:tabs>
      <w:spacing w:line="240" w:lineRule="auto"/>
    </w:pPr>
    <w:rPr>
      <w:rFonts w:ascii="宋体" w:hAnsi="宋体"/>
    </w:rPr>
  </w:style>
  <w:style w:type="paragraph" w:customStyle="1" w:styleId="118">
    <w:name w:val="标准文件_正文图标题"/>
    <w:next w:val="60"/>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9">
    <w:name w:val="标准文件_正文英文表标题"/>
    <w:next w:val="60"/>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0">
    <w:name w:val="标准文件_正文英文图标题"/>
    <w:next w:val="60"/>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1">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2">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3">
    <w:name w:val="发布部门"/>
    <w:next w:val="60"/>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5">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8">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9">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0">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1">
    <w:name w:val="封面正文"/>
    <w:qFormat/>
    <w:uiPriority w:val="0"/>
    <w:pPr>
      <w:jc w:val="both"/>
    </w:pPr>
    <w:rPr>
      <w:rFonts w:ascii="Times New Roman" w:hAnsi="Times New Roman" w:eastAsia="宋体" w:cs="Times New Roman"/>
      <w:lang w:val="en-US" w:eastAsia="zh-CN" w:bidi="ar-SA"/>
    </w:rPr>
  </w:style>
  <w:style w:type="paragraph" w:customStyle="1" w:styleId="132">
    <w:name w:val="附录二级无标题条"/>
    <w:basedOn w:val="1"/>
    <w:next w:val="60"/>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3">
    <w:name w:val="附录三级无标题条"/>
    <w:basedOn w:val="132"/>
    <w:next w:val="60"/>
    <w:qFormat/>
    <w:uiPriority w:val="0"/>
    <w:pPr>
      <w:outlineLvl w:val="4"/>
    </w:pPr>
  </w:style>
  <w:style w:type="paragraph" w:customStyle="1" w:styleId="134">
    <w:name w:val="附录四级无标题条"/>
    <w:basedOn w:val="133"/>
    <w:next w:val="60"/>
    <w:qFormat/>
    <w:uiPriority w:val="0"/>
    <w:pPr>
      <w:outlineLvl w:val="5"/>
    </w:pPr>
  </w:style>
  <w:style w:type="paragraph" w:customStyle="1" w:styleId="135">
    <w:name w:val="附录图"/>
    <w:next w:val="60"/>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6">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7">
    <w:name w:val="附录五级无标题条"/>
    <w:basedOn w:val="134"/>
    <w:next w:val="60"/>
    <w:qFormat/>
    <w:uiPriority w:val="0"/>
    <w:pPr>
      <w:outlineLvl w:val="6"/>
    </w:pPr>
  </w:style>
  <w:style w:type="paragraph" w:customStyle="1" w:styleId="138">
    <w:name w:val="附录性质"/>
    <w:basedOn w:val="1"/>
    <w:qFormat/>
    <w:uiPriority w:val="0"/>
    <w:pPr>
      <w:widowControl/>
      <w:adjustRightInd/>
      <w:jc w:val="center"/>
    </w:pPr>
    <w:rPr>
      <w:rFonts w:ascii="黑体" w:eastAsia="黑体"/>
    </w:rPr>
  </w:style>
  <w:style w:type="paragraph" w:customStyle="1" w:styleId="139">
    <w:name w:val="附录一级无标题条"/>
    <w:basedOn w:val="91"/>
    <w:next w:val="60"/>
    <w:qFormat/>
    <w:uiPriority w:val="0"/>
    <w:pPr>
      <w:autoSpaceDN w:val="0"/>
      <w:outlineLvl w:val="2"/>
    </w:pPr>
    <w:rPr>
      <w:rFonts w:ascii="宋体" w:hAnsi="宋体" w:eastAsia="宋体"/>
    </w:rPr>
  </w:style>
  <w:style w:type="character" w:customStyle="1" w:styleId="140">
    <w:name w:val="个人答复风格"/>
    <w:qFormat/>
    <w:uiPriority w:val="0"/>
    <w:rPr>
      <w:rFonts w:ascii="Arial" w:hAnsi="Arial" w:eastAsia="宋体" w:cs="Arial"/>
      <w:color w:val="auto"/>
      <w:spacing w:val="0"/>
      <w:sz w:val="20"/>
    </w:rPr>
  </w:style>
  <w:style w:type="character" w:customStyle="1" w:styleId="141">
    <w:name w:val="个人撰写风格"/>
    <w:qFormat/>
    <w:uiPriority w:val="0"/>
    <w:rPr>
      <w:rFonts w:ascii="Arial" w:hAnsi="Arial" w:eastAsia="宋体" w:cs="Arial"/>
      <w:color w:val="auto"/>
      <w:spacing w:val="0"/>
      <w:sz w:val="20"/>
    </w:rPr>
  </w:style>
  <w:style w:type="paragraph" w:customStyle="1" w:styleId="142">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3">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4">
    <w:name w:val="列项·"/>
    <w:basedOn w:val="60"/>
    <w:qFormat/>
    <w:uiPriority w:val="0"/>
    <w:pPr>
      <w:tabs>
        <w:tab w:val="left" w:pos="840"/>
      </w:tabs>
    </w:pPr>
  </w:style>
  <w:style w:type="paragraph" w:customStyle="1" w:styleId="14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6">
    <w:name w:val="目录 21"/>
    <w:basedOn w:val="1"/>
    <w:next w:val="1"/>
    <w:semiHidden/>
    <w:qFormat/>
    <w:uiPriority w:val="0"/>
    <w:pPr>
      <w:adjustRightInd/>
      <w:spacing w:line="240" w:lineRule="auto"/>
      <w:jc w:val="left"/>
    </w:pPr>
    <w:rPr>
      <w:bCs/>
      <w:iCs/>
    </w:rPr>
  </w:style>
  <w:style w:type="paragraph" w:customStyle="1" w:styleId="147">
    <w:name w:val="目录 31"/>
    <w:basedOn w:val="1"/>
    <w:next w:val="1"/>
    <w:semiHidden/>
    <w:qFormat/>
    <w:uiPriority w:val="0"/>
    <w:pPr>
      <w:spacing w:line="240" w:lineRule="auto"/>
    </w:pPr>
    <w:rPr>
      <w:rFonts w:ascii="宋体" w:hAnsi="宋体"/>
      <w:iCs/>
    </w:rPr>
  </w:style>
  <w:style w:type="paragraph" w:customStyle="1" w:styleId="148">
    <w:name w:val="目录 41"/>
    <w:basedOn w:val="1"/>
    <w:next w:val="1"/>
    <w:semiHidden/>
    <w:qFormat/>
    <w:uiPriority w:val="0"/>
    <w:pPr>
      <w:adjustRightInd/>
      <w:spacing w:line="240" w:lineRule="auto"/>
      <w:jc w:val="left"/>
    </w:pPr>
  </w:style>
  <w:style w:type="paragraph" w:customStyle="1" w:styleId="149">
    <w:name w:val="目录 51"/>
    <w:basedOn w:val="1"/>
    <w:next w:val="1"/>
    <w:semiHidden/>
    <w:qFormat/>
    <w:uiPriority w:val="0"/>
    <w:pPr>
      <w:spacing w:line="240" w:lineRule="auto"/>
    </w:pPr>
    <w:rPr>
      <w:rFonts w:ascii="宋体" w:hAnsi="宋体"/>
    </w:rPr>
  </w:style>
  <w:style w:type="paragraph" w:customStyle="1" w:styleId="150">
    <w:name w:val="目录 61"/>
    <w:basedOn w:val="1"/>
    <w:next w:val="1"/>
    <w:semiHidden/>
    <w:qFormat/>
    <w:uiPriority w:val="0"/>
    <w:pPr>
      <w:adjustRightInd/>
      <w:spacing w:line="240" w:lineRule="auto"/>
      <w:jc w:val="left"/>
    </w:pPr>
  </w:style>
  <w:style w:type="paragraph" w:customStyle="1" w:styleId="151">
    <w:name w:val="目录 71"/>
    <w:basedOn w:val="150"/>
    <w:semiHidden/>
    <w:qFormat/>
    <w:uiPriority w:val="0"/>
    <w:pPr>
      <w:ind w:left="1260"/>
    </w:pPr>
  </w:style>
  <w:style w:type="paragraph" w:customStyle="1" w:styleId="152">
    <w:name w:val="目录 81"/>
    <w:basedOn w:val="151"/>
    <w:semiHidden/>
    <w:qFormat/>
    <w:uiPriority w:val="0"/>
    <w:pPr>
      <w:ind w:left="1470"/>
    </w:pPr>
  </w:style>
  <w:style w:type="paragraph" w:customStyle="1" w:styleId="153">
    <w:name w:val="目录 91"/>
    <w:basedOn w:val="152"/>
    <w:semiHidden/>
    <w:qFormat/>
    <w:uiPriority w:val="0"/>
    <w:pPr>
      <w:ind w:left="1680"/>
    </w:pPr>
  </w:style>
  <w:style w:type="paragraph" w:customStyle="1" w:styleId="154">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5">
    <w:name w:val="其他发布部门"/>
    <w:basedOn w:val="123"/>
    <w:qFormat/>
    <w:uiPriority w:val="0"/>
    <w:pPr>
      <w:framePr w:wrap="around"/>
      <w:spacing w:line="0" w:lineRule="atLeast"/>
    </w:pPr>
    <w:rPr>
      <w:rFonts w:ascii="黑体" w:eastAsia="黑体"/>
      <w:b w:val="0"/>
    </w:rPr>
  </w:style>
  <w:style w:type="paragraph" w:customStyle="1" w:styleId="156">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7">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8">
    <w:name w:val="实施日期"/>
    <w:basedOn w:val="124"/>
    <w:qFormat/>
    <w:uiPriority w:val="0"/>
    <w:pPr>
      <w:framePr w:hSpace="0" w:wrap="around" w:xAlign="right"/>
      <w:jc w:val="right"/>
    </w:pPr>
  </w:style>
  <w:style w:type="paragraph" w:customStyle="1" w:styleId="159">
    <w:name w:val="四级无标题条"/>
    <w:basedOn w:val="1"/>
    <w:qFormat/>
    <w:uiPriority w:val="0"/>
    <w:pPr>
      <w:numPr>
        <w:ilvl w:val="5"/>
        <w:numId w:val="20"/>
      </w:numPr>
      <w:adjustRightInd/>
      <w:spacing w:line="240" w:lineRule="auto"/>
    </w:pPr>
    <w:rPr>
      <w:rFonts w:ascii="宋体" w:hAnsi="宋体"/>
      <w:szCs w:val="24"/>
    </w:rPr>
  </w:style>
  <w:style w:type="paragraph" w:customStyle="1" w:styleId="16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1">
    <w:name w:val="无标题条"/>
    <w:next w:val="60"/>
    <w:qFormat/>
    <w:uiPriority w:val="0"/>
    <w:pPr>
      <w:jc w:val="both"/>
    </w:pPr>
    <w:rPr>
      <w:rFonts w:ascii="宋体" w:hAnsi="宋体" w:eastAsia="宋体" w:cs="Times New Roman"/>
      <w:sz w:val="21"/>
      <w:lang w:val="en-US" w:eastAsia="zh-CN" w:bidi="ar-SA"/>
    </w:rPr>
  </w:style>
  <w:style w:type="paragraph" w:customStyle="1" w:styleId="162">
    <w:name w:val="五级无标题条"/>
    <w:basedOn w:val="1"/>
    <w:qFormat/>
    <w:uiPriority w:val="0"/>
    <w:pPr>
      <w:numPr>
        <w:ilvl w:val="6"/>
        <w:numId w:val="20"/>
      </w:numPr>
      <w:adjustRightInd/>
    </w:pPr>
    <w:rPr>
      <w:szCs w:val="24"/>
    </w:rPr>
  </w:style>
  <w:style w:type="paragraph" w:customStyle="1" w:styleId="163">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4">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5">
    <w:name w:val="注×:后续"/>
    <w:basedOn w:val="164"/>
    <w:qFormat/>
    <w:uiPriority w:val="0"/>
    <w:pPr>
      <w:ind w:left="1406" w:leftChars="0" w:hanging="499" w:firstLineChars="0"/>
    </w:pPr>
  </w:style>
  <w:style w:type="paragraph" w:customStyle="1" w:styleId="166">
    <w:name w:val="标准文件_一级无标题"/>
    <w:basedOn w:val="109"/>
    <w:qFormat/>
    <w:uiPriority w:val="0"/>
    <w:pPr>
      <w:spacing w:before="0" w:beforeLines="0" w:after="0" w:afterLines="0"/>
      <w:outlineLvl w:val="9"/>
    </w:pPr>
    <w:rPr>
      <w:rFonts w:ascii="宋体" w:eastAsia="宋体"/>
    </w:rPr>
  </w:style>
  <w:style w:type="paragraph" w:customStyle="1" w:styleId="167">
    <w:name w:val="标准文件_五级无标题"/>
    <w:basedOn w:val="107"/>
    <w:qFormat/>
    <w:uiPriority w:val="0"/>
    <w:pPr>
      <w:spacing w:before="0" w:beforeLines="0" w:after="0" w:afterLines="0"/>
      <w:outlineLvl w:val="9"/>
    </w:pPr>
    <w:rPr>
      <w:rFonts w:ascii="宋体" w:eastAsia="宋体"/>
    </w:rPr>
  </w:style>
  <w:style w:type="paragraph" w:customStyle="1" w:styleId="168">
    <w:name w:val="标准文件_三级无标题"/>
    <w:basedOn w:val="98"/>
    <w:qFormat/>
    <w:uiPriority w:val="0"/>
    <w:pPr>
      <w:spacing w:before="0" w:beforeLines="0" w:after="0" w:afterLines="0"/>
      <w:outlineLvl w:val="9"/>
    </w:pPr>
    <w:rPr>
      <w:rFonts w:ascii="宋体" w:eastAsia="宋体"/>
    </w:rPr>
  </w:style>
  <w:style w:type="paragraph" w:customStyle="1" w:styleId="169">
    <w:name w:val="标准文件_二级无标题"/>
    <w:basedOn w:val="69"/>
    <w:qFormat/>
    <w:uiPriority w:val="0"/>
    <w:pPr>
      <w:spacing w:before="0" w:beforeLines="0" w:after="0" w:afterLines="0"/>
      <w:outlineLvl w:val="9"/>
    </w:pPr>
    <w:rPr>
      <w:rFonts w:ascii="宋体" w:eastAsia="宋体"/>
    </w:rPr>
  </w:style>
  <w:style w:type="paragraph" w:customStyle="1" w:styleId="170">
    <w:name w:val="标准_四级无标题"/>
    <w:basedOn w:val="102"/>
    <w:next w:val="60"/>
    <w:qFormat/>
    <w:uiPriority w:val="0"/>
    <w:rPr>
      <w:rFonts w:eastAsia="宋体"/>
    </w:rPr>
  </w:style>
  <w:style w:type="paragraph" w:customStyle="1" w:styleId="171">
    <w:name w:val="标准文件_四级无标题"/>
    <w:basedOn w:val="102"/>
    <w:qFormat/>
    <w:uiPriority w:val="0"/>
    <w:pPr>
      <w:spacing w:before="0" w:beforeLines="0" w:after="0" w:afterLines="0"/>
      <w:outlineLvl w:val="9"/>
    </w:pPr>
    <w:rPr>
      <w:rFonts w:ascii="宋体" w:hAnsi="黑体" w:eastAsia="宋体"/>
      <w:szCs w:val="52"/>
    </w:rPr>
  </w:style>
  <w:style w:type="paragraph" w:customStyle="1" w:styleId="172">
    <w:name w:val="标准文件_大写罗马数字编号列项"/>
    <w:basedOn w:val="60"/>
    <w:qFormat/>
    <w:uiPriority w:val="0"/>
    <w:pPr>
      <w:numPr>
        <w:ilvl w:val="0"/>
        <w:numId w:val="23"/>
      </w:numPr>
      <w:ind w:firstLine="0" w:firstLineChars="0"/>
    </w:pPr>
    <w:rPr>
      <w:rFonts w:ascii="Times New Roman" w:cs="Arial"/>
      <w:szCs w:val="28"/>
    </w:rPr>
  </w:style>
  <w:style w:type="paragraph" w:customStyle="1" w:styleId="173">
    <w:name w:val="标准文件_小写罗马数字编号列项"/>
    <w:basedOn w:val="60"/>
    <w:qFormat/>
    <w:uiPriority w:val="0"/>
    <w:pPr>
      <w:numPr>
        <w:ilvl w:val="0"/>
        <w:numId w:val="24"/>
      </w:numPr>
      <w:ind w:firstLine="0" w:firstLineChars="0"/>
    </w:pPr>
    <w:rPr>
      <w:rFonts w:cs="Arial"/>
      <w:szCs w:val="28"/>
    </w:rPr>
  </w:style>
  <w:style w:type="paragraph" w:customStyle="1" w:styleId="174">
    <w:name w:val="标准文件_附录标题"/>
    <w:basedOn w:val="80"/>
    <w:qFormat/>
    <w:uiPriority w:val="0"/>
    <w:pPr>
      <w:numPr>
        <w:numId w:val="0"/>
      </w:numPr>
      <w:spacing w:after="280"/>
      <w:outlineLvl w:val="9"/>
    </w:pPr>
  </w:style>
  <w:style w:type="paragraph" w:customStyle="1" w:styleId="175">
    <w:name w:val="标准文件_二级项"/>
    <w:qFormat/>
    <w:uiPriority w:val="0"/>
    <w:rPr>
      <w:rFonts w:ascii="宋体" w:hAnsi="Times New Roman" w:eastAsia="宋体" w:cs="Times New Roman"/>
      <w:sz w:val="21"/>
      <w:lang w:val="en-US" w:eastAsia="zh-CN" w:bidi="ar-SA"/>
    </w:rPr>
  </w:style>
  <w:style w:type="paragraph" w:customStyle="1" w:styleId="176">
    <w:name w:val="标准文件_三级项"/>
    <w:basedOn w:val="1"/>
    <w:qFormat/>
    <w:uiPriority w:val="0"/>
    <w:pPr>
      <w:numPr>
        <w:ilvl w:val="2"/>
        <w:numId w:val="21"/>
      </w:numPr>
      <w:spacing w:line="536870612" w:lineRule="auto"/>
    </w:pPr>
    <w:rPr>
      <w:rFonts w:ascii="Times New Roman" w:hAnsi="Times New Roman"/>
    </w:rPr>
  </w:style>
  <w:style w:type="paragraph" w:customStyle="1" w:styleId="177">
    <w:name w:val="图表脚注说明"/>
    <w:basedOn w:val="1"/>
    <w:next w:val="60"/>
    <w:qFormat/>
    <w:uiPriority w:val="0"/>
    <w:pPr>
      <w:numPr>
        <w:ilvl w:val="0"/>
        <w:numId w:val="25"/>
      </w:numPr>
      <w:adjustRightInd/>
      <w:spacing w:line="240" w:lineRule="auto"/>
    </w:pPr>
    <w:rPr>
      <w:rFonts w:ascii="宋体" w:hAnsi="Times New Roman"/>
      <w:sz w:val="18"/>
      <w:szCs w:val="18"/>
    </w:rPr>
  </w:style>
  <w:style w:type="paragraph" w:customStyle="1" w:styleId="178">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9">
    <w:name w:val="标准文件_索引字母"/>
    <w:next w:val="60"/>
    <w:qFormat/>
    <w:uiPriority w:val="0"/>
    <w:pPr>
      <w:jc w:val="center"/>
    </w:pPr>
    <w:rPr>
      <w:rFonts w:ascii="宋体" w:hAnsi="宋体" w:eastAsia="Times New Roman" w:cs="Times New Roman"/>
      <w:b/>
      <w:kern w:val="2"/>
      <w:sz w:val="21"/>
      <w:lang w:val="en-US" w:eastAsia="zh-CN" w:bidi="ar-SA"/>
    </w:rPr>
  </w:style>
  <w:style w:type="paragraph" w:customStyle="1" w:styleId="180">
    <w:name w:val="标准文件_附录前"/>
    <w:next w:val="60"/>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1">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2">
    <w:name w:val="标准文件_表格"/>
    <w:basedOn w:val="60"/>
    <w:qFormat/>
    <w:uiPriority w:val="0"/>
    <w:pPr>
      <w:ind w:firstLine="0" w:firstLineChars="0"/>
      <w:jc w:val="center"/>
    </w:pPr>
    <w:rPr>
      <w:sz w:val="18"/>
    </w:rPr>
  </w:style>
  <w:style w:type="paragraph" w:customStyle="1" w:styleId="183">
    <w:name w:val="标准文件_注："/>
    <w:next w:val="60"/>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5">
    <w:name w:val="标准文件_示例："/>
    <w:next w:val="186"/>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6">
    <w:name w:val="标准文件_示例内容"/>
    <w:basedOn w:val="60"/>
    <w:qFormat/>
    <w:uiPriority w:val="0"/>
    <w:pPr>
      <w:ind w:firstLine="420"/>
    </w:pPr>
    <w:rPr>
      <w:sz w:val="18"/>
    </w:rPr>
  </w:style>
  <w:style w:type="paragraph" w:customStyle="1" w:styleId="187">
    <w:name w:val="标准文件_示例×："/>
    <w:basedOn w:val="1"/>
    <w:next w:val="186"/>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8">
    <w:name w:val="标准文件_段 Char"/>
    <w:link w:val="60"/>
    <w:qFormat/>
    <w:uiPriority w:val="0"/>
    <w:rPr>
      <w:rFonts w:ascii="宋体" w:hAnsi="Times New Roman"/>
      <w:sz w:val="21"/>
    </w:rPr>
  </w:style>
  <w:style w:type="paragraph" w:customStyle="1" w:styleId="189">
    <w:name w:val="标准文件_表格续"/>
    <w:basedOn w:val="60"/>
    <w:next w:val="60"/>
    <w:qFormat/>
    <w:uiPriority w:val="0"/>
    <w:pPr>
      <w:jc w:val="center"/>
    </w:pPr>
    <w:rPr>
      <w:rFonts w:ascii="黑体" w:hAnsi="黑体" w:eastAsia="黑体"/>
    </w:rPr>
  </w:style>
  <w:style w:type="character" w:styleId="190">
    <w:name w:val="Placeholder Text"/>
    <w:basedOn w:val="31"/>
    <w:semiHidden/>
    <w:qFormat/>
    <w:uiPriority w:val="99"/>
    <w:rPr>
      <w:color w:val="808080"/>
    </w:rPr>
  </w:style>
  <w:style w:type="paragraph" w:customStyle="1" w:styleId="191">
    <w:name w:val="标准文件_二级项2"/>
    <w:basedOn w:val="60"/>
    <w:qFormat/>
    <w:uiPriority w:val="0"/>
    <w:pPr>
      <w:numPr>
        <w:ilvl w:val="1"/>
        <w:numId w:val="21"/>
      </w:numPr>
      <w:ind w:firstLine="0" w:firstLineChars="0"/>
    </w:pPr>
  </w:style>
  <w:style w:type="paragraph" w:customStyle="1" w:styleId="192">
    <w:name w:val="标准文件_三级项2"/>
    <w:basedOn w:val="60"/>
    <w:qFormat/>
    <w:uiPriority w:val="0"/>
    <w:pPr>
      <w:numPr>
        <w:ilvl w:val="0"/>
        <w:numId w:val="30"/>
      </w:numPr>
      <w:spacing w:line="300" w:lineRule="exact"/>
      <w:ind w:firstLineChars="0"/>
    </w:pPr>
    <w:rPr>
      <w:rFonts w:ascii="Times New Roman"/>
    </w:rPr>
  </w:style>
  <w:style w:type="paragraph" w:customStyle="1" w:styleId="193">
    <w:name w:val="标准文件_一级项2"/>
    <w:basedOn w:val="60"/>
    <w:qFormat/>
    <w:uiPriority w:val="0"/>
    <w:pPr>
      <w:numPr>
        <w:ilvl w:val="0"/>
        <w:numId w:val="31"/>
      </w:numPr>
      <w:spacing w:line="300" w:lineRule="exact"/>
      <w:ind w:firstLineChars="0"/>
    </w:pPr>
    <w:rPr>
      <w:rFonts w:ascii="Times New Roman"/>
    </w:rPr>
  </w:style>
  <w:style w:type="paragraph" w:customStyle="1" w:styleId="194">
    <w:name w:val="标准文件_提示"/>
    <w:basedOn w:val="60"/>
    <w:next w:val="60"/>
    <w:qFormat/>
    <w:uiPriority w:val="0"/>
    <w:pPr>
      <w:ind w:firstLine="420"/>
    </w:pPr>
    <w:rPr>
      <w:rFonts w:ascii="黑体" w:eastAsia="黑体"/>
    </w:rPr>
  </w:style>
  <w:style w:type="character" w:customStyle="1" w:styleId="195">
    <w:name w:val="标准文件_来源"/>
    <w:basedOn w:val="31"/>
    <w:qFormat/>
    <w:uiPriority w:val="1"/>
    <w:rPr>
      <w:rFonts w:eastAsia="宋体"/>
      <w:sz w:val="21"/>
    </w:rPr>
  </w:style>
  <w:style w:type="paragraph" w:customStyle="1" w:styleId="196">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7">
    <w:name w:val="其他发布日期"/>
    <w:basedOn w:val="124"/>
    <w:qFormat/>
    <w:uiPriority w:val="0"/>
    <w:pPr>
      <w:framePr w:w="3997" w:h="471" w:hRule="exact" w:hSpace="0" w:vSpace="181" w:wrap="around" w:vAnchor="page" w:hAnchor="page" w:x="1419" w:y="14097"/>
    </w:pPr>
  </w:style>
  <w:style w:type="paragraph" w:customStyle="1" w:styleId="198">
    <w:name w:val="其他实施日期"/>
    <w:basedOn w:val="158"/>
    <w:qFormat/>
    <w:uiPriority w:val="0"/>
    <w:pPr>
      <w:framePr w:w="3997" w:h="471" w:hRule="exact" w:vSpace="181" w:wrap="around" w:vAnchor="page" w:hAnchor="page" w:x="7089" w:y="14097"/>
    </w:pPr>
  </w:style>
  <w:style w:type="paragraph" w:customStyle="1" w:styleId="199">
    <w:name w:val="标准文件_文件编号"/>
    <w:basedOn w:val="60"/>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00">
    <w:name w:val="标准文件_替换文件编号"/>
    <w:basedOn w:val="199"/>
    <w:qFormat/>
    <w:uiPriority w:val="0"/>
    <w:pPr>
      <w:framePr w:wrap="around"/>
      <w:spacing w:before="57"/>
    </w:pPr>
    <w:rPr>
      <w:sz w:val="21"/>
    </w:rPr>
  </w:style>
  <w:style w:type="paragraph" w:customStyle="1" w:styleId="201">
    <w:name w:val="标准文件_文件名称"/>
    <w:basedOn w:val="60"/>
    <w:next w:val="60"/>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2">
    <w:name w:val="标准文件_附录图标号"/>
    <w:basedOn w:val="60"/>
    <w:next w:val="60"/>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3">
    <w:name w:val="标准文件_附录表标号"/>
    <w:basedOn w:val="60"/>
    <w:next w:val="60"/>
    <w:qFormat/>
    <w:uiPriority w:val="0"/>
    <w:pPr>
      <w:numPr>
        <w:ilvl w:val="0"/>
        <w:numId w:val="5"/>
      </w:numPr>
      <w:spacing w:line="14" w:lineRule="exact"/>
      <w:ind w:firstLine="0" w:firstLineChars="0"/>
      <w:jc w:val="center"/>
    </w:pPr>
    <w:rPr>
      <w:rFonts w:eastAsia="黑体"/>
      <w:vanish/>
      <w:sz w:val="2"/>
    </w:rPr>
  </w:style>
  <w:style w:type="paragraph" w:customStyle="1" w:styleId="204">
    <w:name w:val="标准文件_引言一级条标题"/>
    <w:basedOn w:val="60"/>
    <w:next w:val="60"/>
    <w:qFormat/>
    <w:uiPriority w:val="0"/>
    <w:pPr>
      <w:numPr>
        <w:ilvl w:val="1"/>
        <w:numId w:val="8"/>
      </w:numPr>
      <w:spacing w:before="50" w:beforeLines="50" w:after="50" w:afterLines="50"/>
      <w:ind w:firstLineChars="0"/>
    </w:pPr>
    <w:rPr>
      <w:rFonts w:ascii="黑体" w:eastAsia="黑体"/>
    </w:rPr>
  </w:style>
  <w:style w:type="paragraph" w:customStyle="1" w:styleId="205">
    <w:name w:val="标准文件_引言二级条标题"/>
    <w:basedOn w:val="60"/>
    <w:next w:val="60"/>
    <w:qFormat/>
    <w:uiPriority w:val="0"/>
    <w:pPr>
      <w:numPr>
        <w:ilvl w:val="2"/>
        <w:numId w:val="8"/>
      </w:numPr>
      <w:spacing w:before="50" w:beforeLines="50" w:after="50" w:afterLines="50"/>
      <w:ind w:firstLineChars="0"/>
    </w:pPr>
    <w:rPr>
      <w:rFonts w:ascii="黑体" w:eastAsia="黑体"/>
    </w:rPr>
  </w:style>
  <w:style w:type="paragraph" w:customStyle="1" w:styleId="206">
    <w:name w:val="标准文件_引言三级条标题"/>
    <w:basedOn w:val="60"/>
    <w:next w:val="60"/>
    <w:qFormat/>
    <w:uiPriority w:val="0"/>
    <w:pPr>
      <w:numPr>
        <w:ilvl w:val="3"/>
        <w:numId w:val="8"/>
      </w:numPr>
      <w:spacing w:before="50" w:beforeLines="50" w:after="50" w:afterLines="50"/>
      <w:ind w:firstLineChars="0"/>
    </w:pPr>
    <w:rPr>
      <w:rFonts w:ascii="黑体" w:eastAsia="黑体"/>
    </w:rPr>
  </w:style>
  <w:style w:type="paragraph" w:customStyle="1" w:styleId="207">
    <w:name w:val="标准文件_引言四级条标题"/>
    <w:basedOn w:val="60"/>
    <w:next w:val="60"/>
    <w:qFormat/>
    <w:uiPriority w:val="0"/>
    <w:pPr>
      <w:numPr>
        <w:ilvl w:val="4"/>
        <w:numId w:val="8"/>
      </w:numPr>
      <w:spacing w:before="50" w:beforeLines="50" w:after="50" w:afterLines="50"/>
      <w:ind w:firstLineChars="0"/>
    </w:pPr>
    <w:rPr>
      <w:rFonts w:ascii="黑体" w:eastAsia="黑体"/>
    </w:rPr>
  </w:style>
  <w:style w:type="paragraph" w:customStyle="1" w:styleId="208">
    <w:name w:val="标准文件_引言五级条标题"/>
    <w:basedOn w:val="60"/>
    <w:next w:val="60"/>
    <w:qFormat/>
    <w:uiPriority w:val="0"/>
    <w:pPr>
      <w:numPr>
        <w:ilvl w:val="5"/>
        <w:numId w:val="8"/>
      </w:numPr>
      <w:spacing w:before="50" w:beforeLines="50" w:after="50" w:afterLines="50"/>
      <w:ind w:firstLineChars="0"/>
    </w:pPr>
    <w:rPr>
      <w:rFonts w:ascii="黑体" w:eastAsia="黑体"/>
    </w:rPr>
  </w:style>
  <w:style w:type="paragraph" w:customStyle="1" w:styleId="209">
    <w:name w:val="标准文件_注后"/>
    <w:basedOn w:val="60"/>
    <w:qFormat/>
    <w:uiPriority w:val="0"/>
    <w:pPr>
      <w:ind w:left="811" w:firstLine="0" w:firstLineChars="0"/>
    </w:pPr>
    <w:rPr>
      <w:sz w:val="18"/>
    </w:rPr>
  </w:style>
  <w:style w:type="paragraph" w:customStyle="1" w:styleId="210">
    <w:name w:val="标准文件_注X后"/>
    <w:basedOn w:val="60"/>
    <w:qFormat/>
    <w:uiPriority w:val="0"/>
    <w:pPr>
      <w:ind w:left="811" w:firstLine="0" w:firstLineChars="0"/>
    </w:pPr>
    <w:rPr>
      <w:sz w:val="18"/>
    </w:rPr>
  </w:style>
  <w:style w:type="paragraph" w:customStyle="1" w:styleId="211">
    <w:name w:val="标准文件_示例后"/>
    <w:basedOn w:val="60"/>
    <w:qFormat/>
    <w:uiPriority w:val="0"/>
    <w:pPr>
      <w:ind w:left="964" w:firstLine="0" w:firstLineChars="0"/>
    </w:pPr>
    <w:rPr>
      <w:sz w:val="18"/>
    </w:rPr>
  </w:style>
  <w:style w:type="paragraph" w:customStyle="1" w:styleId="212">
    <w:name w:val="标准文件_示例X后"/>
    <w:basedOn w:val="60"/>
    <w:link w:val="213"/>
    <w:qFormat/>
    <w:uiPriority w:val="0"/>
    <w:pPr>
      <w:ind w:left="1049" w:firstLine="0" w:firstLineChars="0"/>
    </w:pPr>
    <w:rPr>
      <w:sz w:val="18"/>
    </w:rPr>
  </w:style>
  <w:style w:type="character" w:customStyle="1" w:styleId="213">
    <w:name w:val="标准文件_示例X后 字符"/>
    <w:basedOn w:val="188"/>
    <w:link w:val="212"/>
    <w:qFormat/>
    <w:uiPriority w:val="0"/>
    <w:rPr>
      <w:rFonts w:ascii="宋体" w:hAnsi="Times New Roman"/>
      <w:sz w:val="18"/>
    </w:rPr>
  </w:style>
  <w:style w:type="paragraph" w:customStyle="1" w:styleId="214">
    <w:name w:val="标准文件_索引项"/>
    <w:basedOn w:val="60"/>
    <w:next w:val="60"/>
    <w:qFormat/>
    <w:uiPriority w:val="0"/>
    <w:pPr>
      <w:tabs>
        <w:tab w:val="right" w:leader="dot" w:pos="9356"/>
      </w:tabs>
      <w:ind w:left="210" w:hanging="210" w:firstLineChars="0"/>
      <w:jc w:val="left"/>
    </w:pPr>
  </w:style>
  <w:style w:type="paragraph" w:customStyle="1" w:styleId="215">
    <w:name w:val="标准文件_附录一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二级无标题"/>
    <w:basedOn w:val="83"/>
    <w:qFormat/>
    <w:uiPriority w:val="0"/>
    <w:pPr>
      <w:spacing w:before="0" w:beforeLines="0" w:after="0" w:afterLines="0" w:line="276" w:lineRule="auto"/>
      <w:outlineLvl w:val="9"/>
    </w:pPr>
    <w:rPr>
      <w:rFonts w:ascii="宋体" w:eastAsia="宋体"/>
    </w:rPr>
  </w:style>
  <w:style w:type="paragraph" w:customStyle="1" w:styleId="217">
    <w:name w:val="标准文件_附录三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四级无标题"/>
    <w:basedOn w:val="86"/>
    <w:qFormat/>
    <w:uiPriority w:val="0"/>
    <w:pPr>
      <w:spacing w:before="0" w:beforeLines="0" w:after="0" w:afterLines="0" w:line="276" w:lineRule="auto"/>
      <w:outlineLvl w:val="9"/>
    </w:pPr>
    <w:rPr>
      <w:rFonts w:ascii="宋体" w:eastAsia="宋体"/>
    </w:rPr>
  </w:style>
  <w:style w:type="paragraph" w:customStyle="1" w:styleId="219">
    <w:name w:val="标准文件_附录五级无标题"/>
    <w:basedOn w:val="88"/>
    <w:qFormat/>
    <w:uiPriority w:val="0"/>
    <w:pPr>
      <w:spacing w:before="0" w:beforeLines="0" w:after="0" w:afterLines="0" w:line="276" w:lineRule="auto"/>
      <w:outlineLvl w:val="9"/>
    </w:pPr>
    <w:rPr>
      <w:rFonts w:ascii="宋体" w:eastAsia="宋体"/>
    </w:rPr>
  </w:style>
  <w:style w:type="paragraph" w:customStyle="1" w:styleId="220">
    <w:name w:val="标准文件_引言一级无标题"/>
    <w:basedOn w:val="204"/>
    <w:next w:val="60"/>
    <w:qFormat/>
    <w:uiPriority w:val="0"/>
    <w:pPr>
      <w:spacing w:before="0" w:beforeLines="0" w:after="0" w:afterLines="0" w:line="276" w:lineRule="auto"/>
    </w:pPr>
    <w:rPr>
      <w:rFonts w:ascii="宋体" w:eastAsia="宋体"/>
    </w:rPr>
  </w:style>
  <w:style w:type="paragraph" w:customStyle="1" w:styleId="221">
    <w:name w:val="标准文件_引言二级无标题"/>
    <w:basedOn w:val="205"/>
    <w:next w:val="60"/>
    <w:qFormat/>
    <w:uiPriority w:val="0"/>
    <w:pPr>
      <w:spacing w:before="0" w:beforeLines="0" w:after="0" w:afterLines="0" w:line="276" w:lineRule="auto"/>
    </w:pPr>
    <w:rPr>
      <w:rFonts w:ascii="宋体" w:eastAsia="宋体"/>
    </w:rPr>
  </w:style>
  <w:style w:type="paragraph" w:customStyle="1" w:styleId="222">
    <w:name w:val="标准文件_引言三级无标题"/>
    <w:basedOn w:val="206"/>
    <w:qFormat/>
    <w:uiPriority w:val="0"/>
    <w:pPr>
      <w:spacing w:before="0" w:beforeLines="0" w:after="0" w:afterLines="0" w:line="276" w:lineRule="auto"/>
    </w:pPr>
    <w:rPr>
      <w:rFonts w:ascii="宋体" w:eastAsia="宋体"/>
    </w:rPr>
  </w:style>
  <w:style w:type="paragraph" w:customStyle="1" w:styleId="223">
    <w:name w:val="标准文件_引言四级无标题"/>
    <w:basedOn w:val="207"/>
    <w:next w:val="60"/>
    <w:qFormat/>
    <w:uiPriority w:val="0"/>
    <w:pPr>
      <w:spacing w:before="0" w:beforeLines="0" w:after="0" w:afterLines="0" w:line="276" w:lineRule="auto"/>
    </w:pPr>
    <w:rPr>
      <w:rFonts w:ascii="宋体" w:eastAsia="宋体"/>
    </w:rPr>
  </w:style>
  <w:style w:type="paragraph" w:customStyle="1" w:styleId="224">
    <w:name w:val="标准文件_引言五级无标题"/>
    <w:basedOn w:val="208"/>
    <w:next w:val="60"/>
    <w:qFormat/>
    <w:uiPriority w:val="0"/>
    <w:pPr>
      <w:spacing w:before="0" w:beforeLines="0" w:after="0" w:afterLines="0" w:line="276" w:lineRule="auto"/>
    </w:pPr>
    <w:rPr>
      <w:rFonts w:ascii="宋体" w:eastAsia="宋体"/>
    </w:rPr>
  </w:style>
  <w:style w:type="paragraph" w:customStyle="1" w:styleId="225">
    <w:name w:val="标准文件_索引标题"/>
    <w:basedOn w:val="67"/>
    <w:next w:val="60"/>
    <w:qFormat/>
    <w:uiPriority w:val="0"/>
    <w:rPr>
      <w:rFonts w:hAnsi="黑体"/>
    </w:rPr>
  </w:style>
  <w:style w:type="paragraph" w:customStyle="1" w:styleId="226">
    <w:name w:val="标准文件_脚注内容"/>
    <w:basedOn w:val="60"/>
    <w:qFormat/>
    <w:uiPriority w:val="0"/>
    <w:pPr>
      <w:ind w:left="400" w:leftChars="200" w:hanging="200" w:hangingChars="200"/>
    </w:pPr>
    <w:rPr>
      <w:sz w:val="15"/>
    </w:rPr>
  </w:style>
  <w:style w:type="paragraph" w:customStyle="1" w:styleId="227">
    <w:name w:val="标准文件_术语条一"/>
    <w:basedOn w:val="166"/>
    <w:next w:val="60"/>
    <w:qFormat/>
    <w:uiPriority w:val="0"/>
  </w:style>
  <w:style w:type="paragraph" w:customStyle="1" w:styleId="228">
    <w:name w:val="标准文件_术语条二"/>
    <w:basedOn w:val="169"/>
    <w:next w:val="60"/>
    <w:qFormat/>
    <w:uiPriority w:val="0"/>
  </w:style>
  <w:style w:type="paragraph" w:customStyle="1" w:styleId="229">
    <w:name w:val="标准文件_术语条三"/>
    <w:basedOn w:val="168"/>
    <w:next w:val="60"/>
    <w:qFormat/>
    <w:uiPriority w:val="0"/>
  </w:style>
  <w:style w:type="paragraph" w:customStyle="1" w:styleId="230">
    <w:name w:val="标准文件_术语条四"/>
    <w:basedOn w:val="171"/>
    <w:next w:val="60"/>
    <w:qFormat/>
    <w:uiPriority w:val="0"/>
  </w:style>
  <w:style w:type="paragraph" w:customStyle="1" w:styleId="231">
    <w:name w:val="标准文件_术语条五"/>
    <w:basedOn w:val="167"/>
    <w:next w:val="60"/>
    <w:qFormat/>
    <w:uiPriority w:val="0"/>
  </w:style>
  <w:style w:type="paragraph" w:customStyle="1" w:styleId="23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3">
    <w:name w:val="发布"/>
    <w:basedOn w:val="31"/>
    <w:qFormat/>
    <w:uiPriority w:val="0"/>
    <w:rPr>
      <w:rFonts w:ascii="黑体" w:eastAsia="黑体"/>
      <w:spacing w:val="85"/>
      <w:w w:val="100"/>
      <w:position w:val="3"/>
      <w:sz w:val="28"/>
      <w:szCs w:val="28"/>
    </w:rPr>
  </w:style>
  <w:style w:type="paragraph" w:customStyle="1" w:styleId="234">
    <w:name w:val="段"/>
    <w:link w:val="23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35">
    <w:name w:val="段 Char Char"/>
    <w:link w:val="234"/>
    <w:qFormat/>
    <w:uiPriority w:val="0"/>
    <w:rPr>
      <w:rFonts w:ascii="宋体" w:hAnsi="Times New Roman"/>
      <w:sz w:val="21"/>
    </w:rPr>
  </w:style>
  <w:style w:type="character" w:customStyle="1" w:styleId="236">
    <w:name w:val="正文文本缩进 字符"/>
    <w:basedOn w:val="31"/>
    <w:link w:val="15"/>
    <w:semiHidden/>
    <w:qFormat/>
    <w:uiPriority w:val="99"/>
    <w:rPr>
      <w:kern w:val="2"/>
      <w:sz w:val="21"/>
      <w:szCs w:val="21"/>
    </w:rPr>
  </w:style>
  <w:style w:type="paragraph" w:customStyle="1" w:styleId="237">
    <w:name w:val="二级条标题"/>
    <w:basedOn w:val="1"/>
    <w:next w:val="234"/>
    <w:qFormat/>
    <w:uiPriority w:val="0"/>
    <w:pPr>
      <w:widowControl/>
      <w:adjustRightInd/>
      <w:spacing w:line="240" w:lineRule="auto"/>
      <w:outlineLvl w:val="3"/>
    </w:pPr>
    <w:rPr>
      <w:rFonts w:ascii="黑体" w:hAnsi="Times New Roman" w:eastAsia="黑体"/>
      <w:kern w:val="0"/>
      <w:szCs w:val="20"/>
    </w:rPr>
  </w:style>
  <w:style w:type="character" w:customStyle="1" w:styleId="238">
    <w:name w:val="一级条标题 Char"/>
    <w:link w:val="239"/>
    <w:qFormat/>
    <w:uiPriority w:val="0"/>
    <w:rPr>
      <w:rFonts w:ascii="黑体" w:eastAsia="黑体"/>
      <w:sz w:val="21"/>
    </w:rPr>
  </w:style>
  <w:style w:type="paragraph" w:customStyle="1" w:styleId="239">
    <w:name w:val="一级条标题"/>
    <w:basedOn w:val="1"/>
    <w:next w:val="234"/>
    <w:link w:val="238"/>
    <w:qFormat/>
    <w:uiPriority w:val="0"/>
    <w:pPr>
      <w:widowControl/>
      <w:adjustRightInd/>
      <w:spacing w:line="240" w:lineRule="auto"/>
      <w:outlineLvl w:val="2"/>
    </w:pPr>
    <w:rPr>
      <w:rFonts w:ascii="黑体" w:eastAsia="黑体"/>
      <w:kern w:val="0"/>
      <w:szCs w:val="20"/>
    </w:rPr>
  </w:style>
  <w:style w:type="paragraph" w:styleId="240">
    <w:name w:val="List Paragraph"/>
    <w:basedOn w:val="1"/>
    <w:qFormat/>
    <w:uiPriority w:val="99"/>
    <w:pPr>
      <w:adjustRightInd/>
      <w:spacing w:line="240" w:lineRule="auto"/>
      <w:ind w:firstLine="420" w:firstLineChars="200"/>
    </w:pPr>
    <w:rPr>
      <w:rFonts w:ascii="Times New Roman" w:hAnsi="Times New Roman"/>
      <w:szCs w:val="24"/>
    </w:rPr>
  </w:style>
  <w:style w:type="paragraph" w:customStyle="1" w:styleId="241">
    <w:name w:val="列项◆（三级）"/>
    <w:qFormat/>
    <w:uiPriority w:val="0"/>
    <w:pPr>
      <w:numPr>
        <w:ilvl w:val="0"/>
        <w:numId w:val="32"/>
      </w:numPr>
      <w:ind w:left="800" w:leftChars="600" w:hanging="200" w:hangingChars="200"/>
    </w:pPr>
    <w:rPr>
      <w:rFonts w:ascii="宋体" w:hAnsi="Times New Roman" w:eastAsia="宋体" w:cs="Times New Roman"/>
      <w:sz w:val="21"/>
      <w:lang w:val="en-US" w:eastAsia="zh-CN" w:bidi="ar-SA"/>
    </w:rPr>
  </w:style>
  <w:style w:type="paragraph" w:customStyle="1" w:styleId="242">
    <w:name w:val="章标题"/>
    <w:next w:val="234"/>
    <w:link w:val="243"/>
    <w:qFormat/>
    <w:uiPriority w:val="0"/>
    <w:pPr>
      <w:spacing w:beforeLines="50" w:afterLines="50"/>
      <w:jc w:val="both"/>
      <w:outlineLvl w:val="1"/>
    </w:pPr>
    <w:rPr>
      <w:rFonts w:ascii="黑体" w:hAnsi="Times New Roman" w:eastAsia="黑体" w:cs="Times New Roman"/>
      <w:sz w:val="21"/>
      <w:lang w:val="en-US" w:eastAsia="zh-CN" w:bidi="ar-SA"/>
    </w:rPr>
  </w:style>
  <w:style w:type="character" w:customStyle="1" w:styleId="243">
    <w:name w:val="章标题 字符"/>
    <w:link w:val="242"/>
    <w:qFormat/>
    <w:uiPriority w:val="0"/>
    <w:rPr>
      <w:rFonts w:ascii="黑体" w:hAnsi="Times New Roman" w:eastAsia="黑体"/>
      <w:sz w:val="21"/>
    </w:rPr>
  </w:style>
  <w:style w:type="character" w:customStyle="1" w:styleId="244">
    <w:name w:val="批注文字 字符"/>
    <w:basedOn w:val="31"/>
    <w:link w:val="13"/>
    <w:qFormat/>
    <w:uiPriority w:val="99"/>
    <w:rPr>
      <w:kern w:val="2"/>
      <w:sz w:val="21"/>
      <w:szCs w:val="21"/>
    </w:rPr>
  </w:style>
  <w:style w:type="paragraph" w:customStyle="1" w:styleId="245">
    <w:name w:val="Table Text"/>
    <w:basedOn w:val="1"/>
    <w:semiHidden/>
    <w:qFormat/>
    <w:uiPriority w:val="0"/>
    <w:pPr>
      <w:widowControl/>
      <w:kinsoku w:val="0"/>
      <w:autoSpaceDE w:val="0"/>
      <w:autoSpaceDN w:val="0"/>
      <w:snapToGrid w:val="0"/>
      <w:spacing w:line="240" w:lineRule="auto"/>
      <w:jc w:val="left"/>
      <w:textAlignment w:val="baseline"/>
    </w:pPr>
    <w:rPr>
      <w:rFonts w:ascii="仿宋" w:hAnsi="仿宋" w:eastAsia="仿宋" w:cs="宋体"/>
      <w:color w:val="000000"/>
      <w:kern w:val="0"/>
      <w:sz w:val="24"/>
      <w:szCs w:val="24"/>
    </w:rPr>
  </w:style>
  <w:style w:type="table" w:customStyle="1" w:styleId="246">
    <w:name w:val="Table Normal"/>
    <w:basedOn w:val="29"/>
    <w:qFormat/>
    <w:uiPriority w:val="0"/>
    <w:rPr>
      <w:rFonts w:ascii="Times New Roman" w:hAnsi="Times New Roman" w:eastAsia="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glossaryDocument" Target="glossary/document.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0.jpeg"/><Relationship Id="rId30" Type="http://schemas.openxmlformats.org/officeDocument/2006/relationships/image" Target="media/image9.wmf"/><Relationship Id="rId3" Type="http://schemas.openxmlformats.org/officeDocument/2006/relationships/footnotes" Target="footnotes.xml"/><Relationship Id="rId29" Type="http://schemas.openxmlformats.org/officeDocument/2006/relationships/oleObject" Target="embeddings/oleObject9.bin"/><Relationship Id="rId28" Type="http://schemas.openxmlformats.org/officeDocument/2006/relationships/image" Target="media/image8.wmf"/><Relationship Id="rId27" Type="http://schemas.openxmlformats.org/officeDocument/2006/relationships/oleObject" Target="embeddings/oleObject8.bin"/><Relationship Id="rId26" Type="http://schemas.openxmlformats.org/officeDocument/2006/relationships/image" Target="media/image7.wmf"/><Relationship Id="rId25" Type="http://schemas.openxmlformats.org/officeDocument/2006/relationships/oleObject" Target="embeddings/oleObject7.bin"/><Relationship Id="rId24" Type="http://schemas.openxmlformats.org/officeDocument/2006/relationships/image" Target="media/image6.wmf"/><Relationship Id="rId23" Type="http://schemas.openxmlformats.org/officeDocument/2006/relationships/oleObject" Target="embeddings/oleObject6.bin"/><Relationship Id="rId22" Type="http://schemas.openxmlformats.org/officeDocument/2006/relationships/image" Target="media/image5.wmf"/><Relationship Id="rId21" Type="http://schemas.openxmlformats.org/officeDocument/2006/relationships/oleObject" Target="embeddings/oleObject5.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wmf"/><Relationship Id="rId17" Type="http://schemas.openxmlformats.org/officeDocument/2006/relationships/oleObject" Target="embeddings/oleObject3.bin"/><Relationship Id="rId16" Type="http://schemas.openxmlformats.org/officeDocument/2006/relationships/image" Target="media/image2.wmf"/><Relationship Id="rId15" Type="http://schemas.openxmlformats.org/officeDocument/2006/relationships/oleObject" Target="embeddings/oleObject2.bin"/><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C5945DAF3114EF595B6E43E51EA0362"/>
        <w:style w:val=""/>
        <w:category>
          <w:name w:val="常规"/>
          <w:gallery w:val="placeholder"/>
        </w:category>
        <w:types>
          <w:type w:val="bbPlcHdr"/>
        </w:types>
        <w:behaviors>
          <w:behavior w:val="content"/>
        </w:behaviors>
        <w:description w:val=""/>
        <w:guid w:val="{6B1708E1-D6BF-4C87-8033-C052C7EFD9B5}"/>
      </w:docPartPr>
      <w:docPartBody>
        <w:p w14:paraId="502E8D56">
          <w:pPr>
            <w:pStyle w:val="5"/>
          </w:pPr>
          <w:r>
            <w:rPr>
              <w:rStyle w:val="4"/>
              <w:rFonts w:hint="eastAsia"/>
            </w:rPr>
            <w:t>单击或点击此处输入文字。</w:t>
          </w:r>
        </w:p>
      </w:docPartBody>
    </w:docPart>
    <w:docPart>
      <w:docPartPr>
        <w:name w:val="0AC448888E034AA1899E80FBC8DD7A14"/>
        <w:style w:val=""/>
        <w:category>
          <w:name w:val="常规"/>
          <w:gallery w:val="placeholder"/>
        </w:category>
        <w:types>
          <w:type w:val="bbPlcHdr"/>
        </w:types>
        <w:behaviors>
          <w:behavior w:val="content"/>
        </w:behaviors>
        <w:description w:val=""/>
        <w:guid w:val="{C3BD9C19-4803-42E0-81E5-914E61DA8810}"/>
      </w:docPartPr>
      <w:docPartBody>
        <w:p w14:paraId="66A0C4CF">
          <w:pPr>
            <w:pStyle w:val="6"/>
          </w:pPr>
          <w:r>
            <w:rPr>
              <w:rStyle w:val="4"/>
              <w:rFonts w:hint="eastAsia"/>
            </w:rPr>
            <w:t>选择一项。</w:t>
          </w:r>
        </w:p>
      </w:docPartBody>
    </w:docPart>
    <w:docPart>
      <w:docPartPr>
        <w:name w:val="48C2B21763EC4CE0BD53B329C4FF7AFB"/>
        <w:style w:val=""/>
        <w:category>
          <w:name w:val="常规"/>
          <w:gallery w:val="placeholder"/>
        </w:category>
        <w:types>
          <w:type w:val="bbPlcHdr"/>
        </w:types>
        <w:behaviors>
          <w:behavior w:val="content"/>
        </w:behaviors>
        <w:description w:val=""/>
        <w:guid w:val="{E688FC01-5004-4ED5-BA35-F198A7522E05}"/>
      </w:docPartPr>
      <w:docPartBody>
        <w:p w14:paraId="65168825">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E38"/>
    <w:rsid w:val="000408A4"/>
    <w:rsid w:val="00103A67"/>
    <w:rsid w:val="0015668D"/>
    <w:rsid w:val="001A5A5F"/>
    <w:rsid w:val="001E1DD1"/>
    <w:rsid w:val="00220C09"/>
    <w:rsid w:val="003441D1"/>
    <w:rsid w:val="00395480"/>
    <w:rsid w:val="0045668B"/>
    <w:rsid w:val="00487F74"/>
    <w:rsid w:val="005418FD"/>
    <w:rsid w:val="005725B4"/>
    <w:rsid w:val="005C7A83"/>
    <w:rsid w:val="005D3459"/>
    <w:rsid w:val="00602189"/>
    <w:rsid w:val="00787A3B"/>
    <w:rsid w:val="00912947"/>
    <w:rsid w:val="009235D7"/>
    <w:rsid w:val="00927FC8"/>
    <w:rsid w:val="00985E8F"/>
    <w:rsid w:val="00A45FFE"/>
    <w:rsid w:val="00A6162F"/>
    <w:rsid w:val="00AB4629"/>
    <w:rsid w:val="00AE7D62"/>
    <w:rsid w:val="00B53748"/>
    <w:rsid w:val="00BD5BFA"/>
    <w:rsid w:val="00C06C0F"/>
    <w:rsid w:val="00C465B9"/>
    <w:rsid w:val="00C55953"/>
    <w:rsid w:val="00C61E38"/>
    <w:rsid w:val="00CC3B1C"/>
    <w:rsid w:val="00CF239E"/>
    <w:rsid w:val="00D866E1"/>
    <w:rsid w:val="00D908FE"/>
    <w:rsid w:val="00D92EA5"/>
    <w:rsid w:val="00DF3AD1"/>
    <w:rsid w:val="00E02B64"/>
    <w:rsid w:val="00EB349A"/>
    <w:rsid w:val="00ED49F3"/>
    <w:rsid w:val="00EF2B33"/>
    <w:rsid w:val="00EF60CD"/>
    <w:rsid w:val="00F757B4"/>
    <w:rsid w:val="00F87796"/>
    <w:rsid w:val="00F9564C"/>
    <w:rsid w:val="00FC6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C5945DAF3114EF595B6E43E51EA036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0AC448888E034AA1899E80FBC8DD7A14"/>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48C2B21763EC4CE0BD53B329C4FF7AFB"/>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99978F-FC43-4EC5-AAB1-4A85FF5411BF}">
  <ds:schemaRefs/>
</ds:datastoreItem>
</file>

<file path=docProps/app.xml><?xml version="1.0" encoding="utf-8"?>
<Properties xmlns="http://schemas.openxmlformats.org/officeDocument/2006/extended-properties" xmlns:vt="http://schemas.openxmlformats.org/officeDocument/2006/docPropsVTypes">
  <Template>行业标准.dotx</Template>
  <Company>PCMI</Company>
  <Pages>27</Pages>
  <Words>1110</Words>
  <Characters>1523</Characters>
  <Lines>181</Lines>
  <Paragraphs>50</Paragraphs>
  <TotalTime>237</TotalTime>
  <ScaleCrop>false</ScaleCrop>
  <LinksUpToDate>false</LinksUpToDate>
  <CharactersWithSpaces>1688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2023-12-28T01:39:00Z</dcterms:created>
  <dc:creator>wutong</dc:creator>
  <dc:description>&lt;config cover="true" show_menu="true" version="1.0.0" doctype="SDKXY"&gt;_x000d_
&lt;/config&gt;</dc:description>
  <cp:lastModifiedBy>编辑</cp:lastModifiedBy>
  <cp:lastPrinted>2025-03-18T23:45:00Z</cp:lastPrinted>
  <dcterms:modified xsi:type="dcterms:W3CDTF">2025-07-24T07:56:11Z</dcterms:modified>
  <dc:title>行业标准</dc:title>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2052-12.1.0.21915</vt:lpwstr>
  </property>
  <property fmtid="{D5CDD505-2E9C-101B-9397-08002B2CF9AE}" pid="15" name="ICV">
    <vt:lpwstr>278CC53A86CB4D999D5D840ABC4CA3CB_13</vt:lpwstr>
  </property>
  <property fmtid="{D5CDD505-2E9C-101B-9397-08002B2CF9AE}" pid="16" name="KSOTemplateDocerSaveRecord">
    <vt:lpwstr>eyJoZGlkIjoiOWZhZGYyMThhZDkyYjE3YTE3ZWIyY2ZhNDE4NTlkN2MifQ==</vt:lpwstr>
  </property>
</Properties>
</file>