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6A92A">
      <w:pPr>
        <w:pStyle w:val="2"/>
        <w:keepNext w:val="0"/>
        <w:keepLines w:val="0"/>
        <w:spacing w:before="0" w:after="240" w:line="240" w:lineRule="auto"/>
        <w:jc w:val="center"/>
        <w:rPr>
          <w:rFonts w:ascii="Times New Roman" w:hAnsi="Times New Roman" w:eastAsia="黑体" w:cs="Times New Roman"/>
          <w:sz w:val="21"/>
          <w:szCs w:val="21"/>
        </w:rPr>
      </w:pPr>
    </w:p>
    <w:p w14:paraId="233EE4B6"/>
    <w:p w14:paraId="768209FD"/>
    <w:p w14:paraId="34BAF932"/>
    <w:p w14:paraId="10E32EF0">
      <w:pPr>
        <w:rPr>
          <w:sz w:val="40"/>
          <w:szCs w:val="40"/>
        </w:rPr>
      </w:pPr>
    </w:p>
    <w:p w14:paraId="5850BC76">
      <w:pPr>
        <w:pStyle w:val="2"/>
        <w:keepNext w:val="0"/>
        <w:keepLines w:val="0"/>
        <w:spacing w:before="0" w:after="240" w:line="240" w:lineRule="auto"/>
        <w:jc w:val="center"/>
        <w:rPr>
          <w:rFonts w:ascii="黑体" w:hAnsi="黑体" w:eastAsia="黑体" w:cs="Times New Roman"/>
        </w:rPr>
      </w:pPr>
      <w:bookmarkStart w:id="0" w:name="_GoBack"/>
      <w:r>
        <w:rPr>
          <w:rFonts w:ascii="黑体" w:hAnsi="黑体" w:eastAsia="黑体" w:cs="Times New Roman"/>
        </w:rPr>
        <w:t>《</w:t>
      </w:r>
      <w:r>
        <w:rPr>
          <w:rFonts w:hint="eastAsia" w:ascii="黑体" w:hAnsi="黑体" w:eastAsia="黑体" w:cs="Times New Roman"/>
        </w:rPr>
        <w:t>超高层建筑施工测量规范</w:t>
      </w:r>
      <w:r>
        <w:rPr>
          <w:rFonts w:ascii="黑体" w:hAnsi="黑体" w:eastAsia="黑体" w:cs="Times New Roman"/>
        </w:rPr>
        <w:t>》</w:t>
      </w:r>
    </w:p>
    <w:p w14:paraId="42D45E47">
      <w:pPr>
        <w:pStyle w:val="2"/>
        <w:keepNext w:val="0"/>
        <w:keepLines w:val="0"/>
        <w:spacing w:before="0" w:after="240" w:line="240" w:lineRule="auto"/>
        <w:jc w:val="center"/>
        <w:rPr>
          <w:rFonts w:ascii="黑体" w:hAnsi="黑体" w:eastAsia="黑体" w:cs="Times New Roman"/>
        </w:rPr>
      </w:pPr>
      <w:r>
        <w:rPr>
          <w:rFonts w:ascii="黑体" w:hAnsi="黑体" w:eastAsia="黑体" w:cs="Times New Roman"/>
        </w:rPr>
        <w:t>编制说明</w:t>
      </w:r>
    </w:p>
    <w:bookmarkEnd w:id="0"/>
    <w:p w14:paraId="340F1150">
      <w:pPr>
        <w:rPr>
          <w:rFonts w:ascii="Times New Roman" w:hAnsi="Times New Roman" w:cs="Times New Roman"/>
        </w:rPr>
      </w:pPr>
    </w:p>
    <w:p w14:paraId="79E8CF28">
      <w:pPr>
        <w:rPr>
          <w:rFonts w:ascii="Times New Roman" w:hAnsi="Times New Roman" w:cs="Times New Roman"/>
        </w:rPr>
      </w:pPr>
    </w:p>
    <w:p w14:paraId="5CE7FA8E">
      <w:pPr>
        <w:rPr>
          <w:rFonts w:ascii="Times New Roman" w:hAnsi="Times New Roman" w:cs="Times New Roman"/>
        </w:rPr>
      </w:pPr>
    </w:p>
    <w:p w14:paraId="38F1DB65">
      <w:pPr>
        <w:spacing w:after="312" w:afterLines="100"/>
        <w:ind w:firstLine="565" w:firstLineChars="202"/>
        <w:rPr>
          <w:rFonts w:ascii="Times New Roman" w:hAnsi="Times New Roman" w:eastAsia="仿宋" w:cs="Times New Roman"/>
          <w:sz w:val="28"/>
          <w:szCs w:val="28"/>
          <w:u w:val="single"/>
        </w:rPr>
      </w:pPr>
      <w:r>
        <w:rPr>
          <w:rFonts w:hint="eastAsia" w:ascii="Times New Roman" w:hAnsi="Times New Roman" w:eastAsia="仿宋" w:cs="Times New Roman"/>
          <w:sz w:val="28"/>
          <w:szCs w:val="28"/>
        </w:rPr>
        <w:t>行业</w:t>
      </w:r>
      <w:r>
        <w:rPr>
          <w:rFonts w:ascii="Times New Roman" w:hAnsi="Times New Roman" w:eastAsia="仿宋" w:cs="Times New Roman"/>
          <w:sz w:val="28"/>
          <w:szCs w:val="28"/>
        </w:rPr>
        <w:t>标准项目名称：</w:t>
      </w:r>
      <w:r>
        <w:rPr>
          <w:rFonts w:ascii="Times New Roman" w:hAnsi="Times New Roman" w:eastAsia="仿宋" w:cs="Times New Roman"/>
          <w:sz w:val="28"/>
          <w:szCs w:val="28"/>
          <w:u w:val="single"/>
        </w:rPr>
        <w:t xml:space="preserve"> </w:t>
      </w:r>
      <w:r>
        <w:rPr>
          <w:rFonts w:hint="eastAsia" w:ascii="Times New Roman" w:hAnsi="Times New Roman" w:eastAsia="仿宋" w:cs="Times New Roman"/>
          <w:b/>
          <w:sz w:val="28"/>
          <w:szCs w:val="28"/>
          <w:u w:val="single"/>
        </w:rPr>
        <w:t xml:space="preserve"> </w:t>
      </w:r>
      <w:r>
        <w:rPr>
          <w:rFonts w:ascii="Times New Roman" w:hAnsi="Times New Roman" w:eastAsia="仿宋" w:cs="Times New Roman"/>
          <w:b/>
          <w:sz w:val="28"/>
          <w:szCs w:val="28"/>
          <w:u w:val="single"/>
        </w:rPr>
        <w:t xml:space="preserve">    </w:t>
      </w:r>
      <w:r>
        <w:rPr>
          <w:rFonts w:hint="eastAsia" w:ascii="Times New Roman" w:hAnsi="Times New Roman" w:eastAsia="仿宋" w:cs="Times New Roman"/>
          <w:sz w:val="28"/>
          <w:szCs w:val="28"/>
          <w:u w:val="single"/>
        </w:rPr>
        <w:t>超高层建筑施工测量规范</w:t>
      </w:r>
      <w:r>
        <w:rPr>
          <w:rFonts w:hint="eastAsia" w:ascii="Times New Roman" w:hAnsi="Times New Roman" w:eastAsia="仿宋" w:cs="Times New Roman"/>
          <w:b/>
          <w:sz w:val="28"/>
          <w:szCs w:val="28"/>
          <w:u w:val="single"/>
        </w:rPr>
        <w:t xml:space="preserve">    </w:t>
      </w:r>
      <w:r>
        <w:rPr>
          <w:rFonts w:ascii="Times New Roman" w:hAnsi="Times New Roman" w:eastAsia="仿宋" w:cs="Times New Roman"/>
          <w:sz w:val="28"/>
          <w:szCs w:val="28"/>
          <w:u w:val="single"/>
        </w:rPr>
        <w:t xml:space="preserve">    </w:t>
      </w:r>
    </w:p>
    <w:p w14:paraId="04F61012">
      <w:pPr>
        <w:spacing w:after="312" w:afterLines="100"/>
        <w:ind w:firstLine="565" w:firstLineChars="202"/>
        <w:rPr>
          <w:rFonts w:ascii="Times New Roman" w:hAnsi="Times New Roman" w:eastAsia="仿宋" w:cs="Times New Roman"/>
          <w:sz w:val="28"/>
          <w:szCs w:val="28"/>
        </w:rPr>
      </w:pPr>
      <w:r>
        <w:rPr>
          <w:rFonts w:hint="eastAsia" w:ascii="Times New Roman" w:hAnsi="Times New Roman" w:eastAsia="仿宋" w:cs="Times New Roman"/>
          <w:sz w:val="28"/>
          <w:szCs w:val="28"/>
        </w:rPr>
        <w:t>行业</w:t>
      </w:r>
      <w:r>
        <w:rPr>
          <w:rFonts w:ascii="Times New Roman" w:hAnsi="Times New Roman" w:eastAsia="仿宋" w:cs="Times New Roman"/>
          <w:sz w:val="28"/>
          <w:szCs w:val="28"/>
        </w:rPr>
        <w:t>标准项目编号：</w:t>
      </w:r>
      <w:r>
        <w:rPr>
          <w:rFonts w:ascii="Times New Roman" w:hAnsi="Times New Roman" w:eastAsia="仿宋" w:cs="Times New Roman"/>
          <w:sz w:val="28"/>
          <w:szCs w:val="28"/>
          <w:u w:val="single"/>
        </w:rPr>
        <w:t xml:space="preserve">  </w:t>
      </w:r>
      <w:r>
        <w:rPr>
          <w:rFonts w:hint="eastAsia" w:ascii="Times New Roman" w:hAnsi="Times New Roman" w:cs="Times New Roman"/>
          <w:color w:val="000000"/>
          <w:sz w:val="28"/>
          <w:szCs w:val="28"/>
          <w:u w:val="single"/>
        </w:rPr>
        <w:t xml:space="preserve">     </w:t>
      </w:r>
      <w:r>
        <w:rPr>
          <w:rFonts w:ascii="Times New Roman" w:hAnsi="Times New Roman" w:cs="Times New Roman"/>
          <w:color w:val="000000"/>
          <w:sz w:val="28"/>
          <w:szCs w:val="28"/>
          <w:u w:val="single"/>
        </w:rPr>
        <w:t>202432015</w:t>
      </w:r>
      <w:r>
        <w:rPr>
          <w:rFonts w:ascii="Times New Roman" w:hAnsi="Times New Roman" w:eastAsia="仿宋" w:cs="Times New Roman"/>
          <w:sz w:val="28"/>
          <w:szCs w:val="28"/>
          <w:u w:val="single"/>
        </w:rPr>
        <w:t xml:space="preserve">                    </w:t>
      </w:r>
    </w:p>
    <w:p w14:paraId="2E2EB33A">
      <w:pPr>
        <w:ind w:firstLine="565" w:firstLineChars="202"/>
        <w:rPr>
          <w:rFonts w:ascii="Times New Roman" w:hAnsi="Times New Roman" w:eastAsia="仿宋" w:cs="Times New Roman"/>
          <w:sz w:val="28"/>
          <w:szCs w:val="28"/>
          <w:u w:val="single"/>
        </w:rPr>
      </w:pPr>
      <w:r>
        <w:rPr>
          <w:rFonts w:ascii="Times New Roman" w:hAnsi="Times New Roman" w:eastAsia="仿宋" w:cs="Times New Roman"/>
          <w:sz w:val="28"/>
          <w:szCs w:val="28"/>
        </w:rPr>
        <w:t>送审</w:t>
      </w:r>
      <w:r>
        <w:rPr>
          <w:rFonts w:hint="eastAsia" w:ascii="Times New Roman" w:hAnsi="Times New Roman" w:eastAsia="仿宋" w:cs="Times New Roman"/>
          <w:sz w:val="28"/>
          <w:szCs w:val="28"/>
        </w:rPr>
        <w:t>行业</w:t>
      </w:r>
      <w:r>
        <w:rPr>
          <w:rFonts w:ascii="Times New Roman" w:hAnsi="Times New Roman" w:eastAsia="仿宋" w:cs="Times New Roman"/>
          <w:sz w:val="28"/>
          <w:szCs w:val="28"/>
        </w:rPr>
        <w:t>标准名称：</w:t>
      </w:r>
      <w:r>
        <w:rPr>
          <w:rFonts w:ascii="Times New Roman" w:hAnsi="Times New Roman" w:eastAsia="仿宋" w:cs="Times New Roman"/>
          <w:sz w:val="28"/>
          <w:szCs w:val="28"/>
          <w:u w:val="single"/>
        </w:rPr>
        <w:t xml:space="preserve">  </w:t>
      </w:r>
      <w:r>
        <w:rPr>
          <w:rFonts w:hint="eastAsia" w:ascii="Times New Roman" w:hAnsi="Times New Roman" w:eastAsia="仿宋" w:cs="Times New Roman"/>
          <w:sz w:val="28"/>
          <w:szCs w:val="28"/>
          <w:u w:val="single"/>
        </w:rPr>
        <w:t xml:space="preserve">                               </w:t>
      </w:r>
      <w:r>
        <w:rPr>
          <w:rFonts w:ascii="Times New Roman" w:hAnsi="Times New Roman" w:eastAsia="仿宋" w:cs="Times New Roman"/>
          <w:sz w:val="28"/>
          <w:szCs w:val="28"/>
          <w:u w:val="single"/>
        </w:rPr>
        <w:t xml:space="preserve">   </w:t>
      </w:r>
    </w:p>
    <w:p w14:paraId="152CC332">
      <w:pPr>
        <w:ind w:firstLine="565" w:firstLineChars="202"/>
        <w:rPr>
          <w:rFonts w:ascii="Times New Roman" w:hAnsi="Times New Roman" w:eastAsia="仿宋" w:cs="Times New Roman"/>
          <w:sz w:val="28"/>
          <w:szCs w:val="28"/>
        </w:rPr>
      </w:pPr>
      <w:r>
        <w:rPr>
          <w:rFonts w:ascii="Times New Roman" w:hAnsi="Times New Roman" w:eastAsia="仿宋" w:cs="Times New Roman"/>
          <w:sz w:val="28"/>
          <w:szCs w:val="28"/>
        </w:rPr>
        <w:t>（此栏送审时填写）</w:t>
      </w:r>
    </w:p>
    <w:p w14:paraId="427540E8">
      <w:pPr>
        <w:ind w:firstLine="565" w:firstLineChars="202"/>
        <w:rPr>
          <w:rFonts w:ascii="Times New Roman" w:hAnsi="Times New Roman" w:eastAsia="仿宋" w:cs="Times New Roman"/>
          <w:sz w:val="28"/>
          <w:szCs w:val="28"/>
          <w:u w:val="single"/>
        </w:rPr>
      </w:pPr>
      <w:r>
        <w:rPr>
          <w:rFonts w:ascii="Times New Roman" w:hAnsi="Times New Roman" w:eastAsia="仿宋" w:cs="Times New Roman"/>
          <w:sz w:val="28"/>
          <w:szCs w:val="28"/>
        </w:rPr>
        <w:t>报批</w:t>
      </w:r>
      <w:r>
        <w:rPr>
          <w:rFonts w:hint="eastAsia" w:ascii="Times New Roman" w:hAnsi="Times New Roman" w:eastAsia="仿宋" w:cs="Times New Roman"/>
          <w:sz w:val="28"/>
          <w:szCs w:val="28"/>
        </w:rPr>
        <w:t>行业</w:t>
      </w:r>
      <w:r>
        <w:rPr>
          <w:rFonts w:ascii="Times New Roman" w:hAnsi="Times New Roman" w:eastAsia="仿宋" w:cs="Times New Roman"/>
          <w:sz w:val="28"/>
          <w:szCs w:val="28"/>
        </w:rPr>
        <w:t>标准名称：</w:t>
      </w:r>
      <w:r>
        <w:rPr>
          <w:rFonts w:ascii="Times New Roman" w:hAnsi="Times New Roman" w:eastAsia="仿宋" w:cs="Times New Roman"/>
          <w:sz w:val="28"/>
          <w:szCs w:val="28"/>
          <w:u w:val="single"/>
        </w:rPr>
        <w:t xml:space="preserve">   </w:t>
      </w:r>
      <w:r>
        <w:rPr>
          <w:rFonts w:hint="eastAsia" w:ascii="Times New Roman" w:hAnsi="Times New Roman" w:eastAsia="仿宋" w:cs="Times New Roman"/>
          <w:sz w:val="28"/>
          <w:szCs w:val="28"/>
          <w:u w:val="single"/>
        </w:rPr>
        <w:t xml:space="preserve">                                </w:t>
      </w:r>
      <w:r>
        <w:rPr>
          <w:rFonts w:ascii="Times New Roman" w:hAnsi="Times New Roman" w:eastAsia="仿宋" w:cs="Times New Roman"/>
          <w:sz w:val="28"/>
          <w:szCs w:val="28"/>
          <w:u w:val="single"/>
        </w:rPr>
        <w:t xml:space="preserve"> </w:t>
      </w:r>
    </w:p>
    <w:p w14:paraId="61381FFD">
      <w:pPr>
        <w:spacing w:after="312" w:afterLines="100"/>
        <w:ind w:firstLine="565" w:firstLineChars="202"/>
        <w:rPr>
          <w:rFonts w:ascii="Times New Roman" w:hAnsi="Times New Roman" w:eastAsia="仿宋" w:cs="Times New Roman"/>
          <w:sz w:val="28"/>
          <w:szCs w:val="28"/>
        </w:rPr>
      </w:pPr>
      <w:r>
        <w:rPr>
          <w:rFonts w:ascii="Times New Roman" w:hAnsi="Times New Roman" w:eastAsia="仿宋" w:cs="Times New Roman"/>
          <w:sz w:val="28"/>
          <w:szCs w:val="28"/>
        </w:rPr>
        <w:t>（此栏报批时填写）</w:t>
      </w:r>
    </w:p>
    <w:p w14:paraId="016CB1F7">
      <w:pPr>
        <w:spacing w:after="312" w:afterLines="100"/>
        <w:ind w:firstLine="565" w:firstLineChars="202"/>
        <w:rPr>
          <w:rFonts w:ascii="Times New Roman" w:hAnsi="Times New Roman" w:eastAsia="仿宋" w:cs="Times New Roman"/>
          <w:sz w:val="28"/>
          <w:szCs w:val="28"/>
        </w:rPr>
      </w:pPr>
      <w:r>
        <w:rPr>
          <w:rFonts w:ascii="Times New Roman" w:hAnsi="Times New Roman" w:eastAsia="仿宋" w:cs="Times New Roman"/>
          <w:sz w:val="28"/>
          <w:szCs w:val="28"/>
        </w:rPr>
        <w:t>承担单位：</w:t>
      </w:r>
      <w:r>
        <w:rPr>
          <w:rFonts w:ascii="Times New Roman" w:hAnsi="Times New Roman" w:eastAsia="仿宋" w:cs="Times New Roman"/>
          <w:sz w:val="28"/>
          <w:szCs w:val="28"/>
          <w:u w:val="single"/>
        </w:rPr>
        <w:t xml:space="preserve"> </w:t>
      </w:r>
      <w:r>
        <w:rPr>
          <w:rFonts w:hint="eastAsia" w:ascii="Times New Roman" w:hAnsi="Times New Roman" w:eastAsia="仿宋" w:cs="Times New Roman"/>
          <w:sz w:val="28"/>
          <w:szCs w:val="28"/>
          <w:u w:val="single"/>
        </w:rPr>
        <w:t xml:space="preserve">北京测绘学会、北京中建华海测绘科技有限公司 </w:t>
      </w:r>
    </w:p>
    <w:p w14:paraId="4F85F872">
      <w:pPr>
        <w:ind w:firstLine="565" w:firstLineChars="202"/>
        <w:rPr>
          <w:rFonts w:ascii="Times New Roman" w:hAnsi="Times New Roman" w:eastAsia="仿宋" w:cs="Times New Roman"/>
          <w:sz w:val="28"/>
          <w:szCs w:val="28"/>
        </w:rPr>
      </w:pPr>
      <w:r>
        <w:rPr>
          <w:rFonts w:ascii="Times New Roman" w:hAnsi="Times New Roman" w:eastAsia="仿宋" w:cs="Times New Roman"/>
          <w:sz w:val="28"/>
          <w:szCs w:val="28"/>
        </w:rPr>
        <w:t>当前阶段：</w:t>
      </w:r>
      <w:r>
        <w:rPr>
          <w:rFonts w:ascii="仿宋" w:hAnsi="仿宋" w:eastAsia="仿宋" w:cs="Times New Roman"/>
          <w:sz w:val="28"/>
          <w:szCs w:val="28"/>
          <w:u w:val="single"/>
        </w:rPr>
        <w:sym w:font="Wingdings 2" w:char="0052"/>
      </w:r>
      <w:r>
        <w:rPr>
          <w:rFonts w:ascii="仿宋" w:hAnsi="仿宋" w:eastAsia="仿宋" w:cs="Times New Roman"/>
          <w:sz w:val="28"/>
          <w:szCs w:val="28"/>
          <w:u w:val="single"/>
        </w:rPr>
        <w:t>征求意见      □送审稿审查    □</w:t>
      </w:r>
      <w:r>
        <w:rPr>
          <w:rFonts w:ascii="Times New Roman" w:hAnsi="Times New Roman" w:eastAsia="仿宋" w:cs="Times New Roman"/>
          <w:sz w:val="28"/>
          <w:szCs w:val="28"/>
          <w:u w:val="single"/>
        </w:rPr>
        <w:t>报批稿报批</w:t>
      </w:r>
    </w:p>
    <w:p w14:paraId="502E356E">
      <w:pPr>
        <w:jc w:val="center"/>
        <w:rPr>
          <w:rFonts w:ascii="Times New Roman" w:hAnsi="Times New Roman" w:eastAsia="仿宋" w:cs="Times New Roman"/>
          <w:sz w:val="28"/>
          <w:szCs w:val="28"/>
        </w:rPr>
      </w:pPr>
    </w:p>
    <w:p w14:paraId="0E346526">
      <w:pPr>
        <w:jc w:val="center"/>
        <w:rPr>
          <w:rFonts w:ascii="Times New Roman" w:hAnsi="Times New Roman" w:eastAsia="仿宋" w:cs="Times New Roman"/>
          <w:sz w:val="28"/>
          <w:szCs w:val="28"/>
        </w:rPr>
      </w:pPr>
    </w:p>
    <w:p w14:paraId="721E44DA">
      <w:pPr>
        <w:ind w:left="-2" w:leftChars="-1" w:firstLine="2268" w:firstLineChars="810"/>
        <w:jc w:val="left"/>
        <w:rPr>
          <w:rFonts w:ascii="Times New Roman" w:hAnsi="Times New Roman" w:eastAsia="仿宋" w:cs="Times New Roman"/>
          <w:sz w:val="28"/>
          <w:szCs w:val="28"/>
          <w:u w:val="single"/>
        </w:rPr>
      </w:pPr>
      <w:r>
        <w:rPr>
          <w:rFonts w:ascii="Times New Roman" w:hAnsi="Times New Roman" w:eastAsia="仿宋" w:cs="Times New Roman"/>
          <w:sz w:val="28"/>
          <w:szCs w:val="28"/>
        </w:rPr>
        <w:t xml:space="preserve">编制时间： </w:t>
      </w:r>
      <w:r>
        <w:rPr>
          <w:rFonts w:ascii="Times New Roman" w:hAnsi="Times New Roman" w:eastAsia="仿宋" w:cs="Times New Roman"/>
          <w:sz w:val="28"/>
          <w:szCs w:val="28"/>
          <w:u w:val="single"/>
        </w:rPr>
        <w:t xml:space="preserve">     2025年</w:t>
      </w:r>
      <w:r>
        <w:rPr>
          <w:rFonts w:hint="eastAsia" w:ascii="Times New Roman" w:hAnsi="Times New Roman" w:eastAsia="仿宋" w:cs="Times New Roman"/>
          <w:sz w:val="28"/>
          <w:szCs w:val="28"/>
          <w:u w:val="single"/>
        </w:rPr>
        <w:t xml:space="preserve"> </w:t>
      </w:r>
      <w:r>
        <w:rPr>
          <w:rFonts w:ascii="Times New Roman" w:hAnsi="Times New Roman" w:eastAsia="仿宋" w:cs="Times New Roman"/>
          <w:sz w:val="28"/>
          <w:szCs w:val="28"/>
          <w:u w:val="single"/>
        </w:rPr>
        <w:t>7</w:t>
      </w:r>
      <w:r>
        <w:rPr>
          <w:rFonts w:hint="eastAsia" w:ascii="Times New Roman" w:hAnsi="Times New Roman" w:eastAsia="仿宋" w:cs="Times New Roman"/>
          <w:sz w:val="28"/>
          <w:szCs w:val="28"/>
          <w:u w:val="single"/>
        </w:rPr>
        <w:t xml:space="preserve"> </w:t>
      </w:r>
      <w:r>
        <w:rPr>
          <w:rFonts w:ascii="Times New Roman" w:hAnsi="Times New Roman" w:eastAsia="仿宋" w:cs="Times New Roman"/>
          <w:sz w:val="28"/>
          <w:szCs w:val="28"/>
          <w:u w:val="single"/>
        </w:rPr>
        <w:t xml:space="preserve">月      </w:t>
      </w:r>
    </w:p>
    <w:p w14:paraId="134CED6F">
      <w:pPr>
        <w:pStyle w:val="2"/>
        <w:keepNext w:val="0"/>
        <w:keepLines w:val="0"/>
        <w:spacing w:before="240" w:after="0" w:line="240" w:lineRule="auto"/>
        <w:jc w:val="center"/>
        <w:rPr>
          <w:rFonts w:ascii="Times New Roman" w:hAnsi="Times New Roman" w:eastAsia="黑体" w:cs="Times New Roman"/>
          <w:sz w:val="40"/>
          <w:szCs w:val="36"/>
        </w:rPr>
      </w:pPr>
    </w:p>
    <w:p w14:paraId="34D273A1">
      <w:pPr>
        <w:widowControl/>
        <w:jc w:val="left"/>
        <w:rPr>
          <w:rFonts w:ascii="Times New Roman" w:hAnsi="Times New Roman" w:cs="Times New Roman"/>
        </w:rPr>
      </w:pPr>
      <w:r>
        <w:rPr>
          <w:rFonts w:ascii="Times New Roman" w:hAnsi="Times New Roman" w:cs="Times New Roman"/>
        </w:rPr>
        <w:br w:type="page"/>
      </w:r>
    </w:p>
    <w:p w14:paraId="4A0C91F6">
      <w:pPr>
        <w:adjustRightInd w:val="0"/>
        <w:snapToGrid w:val="0"/>
        <w:spacing w:line="360" w:lineRule="auto"/>
        <w:ind w:firstLine="640" w:firstLineChars="200"/>
        <w:jc w:val="center"/>
        <w:outlineLvl w:val="3"/>
        <w:rPr>
          <w:rFonts w:ascii="黑体" w:hAnsi="黑体" w:eastAsia="黑体" w:cs="Times New Roman"/>
          <w:color w:val="000000"/>
          <w:sz w:val="32"/>
          <w:szCs w:val="32"/>
        </w:rPr>
      </w:pPr>
      <w:r>
        <w:rPr>
          <w:rFonts w:hint="eastAsia" w:ascii="黑体" w:hAnsi="黑体" w:eastAsia="黑体" w:cs="Times New Roman"/>
          <w:color w:val="000000"/>
          <w:sz w:val="32"/>
          <w:szCs w:val="32"/>
        </w:rPr>
        <w:t>目  次</w:t>
      </w:r>
    </w:p>
    <w:p w14:paraId="7FCB4614">
      <w:pPr>
        <w:spacing w:line="360" w:lineRule="auto"/>
        <w:ind w:firstLine="426" w:firstLineChars="142"/>
        <w:rPr>
          <w:rFonts w:ascii="仿宋" w:hAnsi="仿宋" w:eastAsia="仿宋" w:cs="Times New Roman"/>
          <w:color w:val="000000"/>
          <w:sz w:val="30"/>
          <w:szCs w:val="30"/>
        </w:rPr>
      </w:pPr>
      <w:r>
        <w:rPr>
          <w:rFonts w:hint="eastAsia" w:ascii="仿宋" w:hAnsi="仿宋" w:eastAsia="仿宋" w:cs="Times New Roman"/>
          <w:color w:val="000000"/>
          <w:sz w:val="30"/>
          <w:szCs w:val="30"/>
        </w:rPr>
        <w:t>一、</w:t>
      </w:r>
      <w:r>
        <w:rPr>
          <w:rFonts w:ascii="仿宋" w:hAnsi="仿宋" w:eastAsia="仿宋" w:cs="Times New Roman"/>
          <w:color w:val="000000"/>
          <w:sz w:val="30"/>
          <w:szCs w:val="30"/>
        </w:rPr>
        <w:t>工作简况</w:t>
      </w:r>
    </w:p>
    <w:p w14:paraId="3BFDC7C0">
      <w:pPr>
        <w:spacing w:line="360" w:lineRule="auto"/>
        <w:ind w:firstLine="450" w:firstLineChars="150"/>
        <w:rPr>
          <w:rFonts w:ascii="仿宋" w:hAnsi="仿宋" w:eastAsia="仿宋" w:cs="Times New Roman"/>
          <w:color w:val="000000"/>
          <w:sz w:val="30"/>
          <w:szCs w:val="30"/>
        </w:rPr>
      </w:pPr>
      <w:r>
        <w:rPr>
          <w:rFonts w:hint="eastAsia" w:ascii="仿宋" w:hAnsi="仿宋" w:eastAsia="仿宋" w:cs="Times New Roman"/>
          <w:color w:val="000000"/>
          <w:sz w:val="30"/>
          <w:szCs w:val="30"/>
        </w:rPr>
        <w:t>二、</w:t>
      </w:r>
      <w:r>
        <w:rPr>
          <w:rFonts w:ascii="仿宋" w:hAnsi="仿宋" w:eastAsia="仿宋" w:cs="Times New Roman"/>
          <w:color w:val="000000"/>
          <w:sz w:val="30"/>
          <w:szCs w:val="30"/>
        </w:rPr>
        <w:t>标准编制原则和</w:t>
      </w:r>
      <w:r>
        <w:rPr>
          <w:rFonts w:hint="eastAsia" w:ascii="仿宋" w:hAnsi="仿宋" w:eastAsia="仿宋" w:cs="Times New Roman"/>
          <w:color w:val="000000"/>
          <w:sz w:val="30"/>
          <w:szCs w:val="30"/>
        </w:rPr>
        <w:t>确定</w:t>
      </w:r>
      <w:r>
        <w:rPr>
          <w:rFonts w:ascii="仿宋" w:hAnsi="仿宋" w:eastAsia="仿宋" w:cs="Times New Roman"/>
          <w:color w:val="000000"/>
          <w:sz w:val="30"/>
          <w:szCs w:val="30"/>
        </w:rPr>
        <w:t>主要内容的论据</w:t>
      </w:r>
    </w:p>
    <w:p w14:paraId="772D07E5">
      <w:pPr>
        <w:spacing w:line="360" w:lineRule="auto"/>
        <w:ind w:left="420" w:leftChars="200"/>
        <w:rPr>
          <w:rFonts w:ascii="仿宋" w:hAnsi="仿宋" w:eastAsia="仿宋" w:cs="Times New Roman"/>
          <w:color w:val="000000"/>
          <w:sz w:val="30"/>
          <w:szCs w:val="30"/>
        </w:rPr>
      </w:pPr>
      <w:r>
        <w:rPr>
          <w:rFonts w:hint="eastAsia" w:ascii="仿宋" w:hAnsi="仿宋" w:eastAsia="仿宋" w:cs="Times New Roman"/>
          <w:color w:val="000000"/>
          <w:sz w:val="30"/>
          <w:szCs w:val="30"/>
        </w:rPr>
        <w:t>三、</w:t>
      </w:r>
      <w:r>
        <w:rPr>
          <w:rFonts w:ascii="仿宋" w:hAnsi="仿宋" w:eastAsia="仿宋" w:cs="Times New Roman"/>
          <w:color w:val="000000"/>
          <w:sz w:val="30"/>
          <w:szCs w:val="30"/>
        </w:rPr>
        <w:t>主要试验(或验证)的分析、综述报告</w:t>
      </w:r>
      <w:r>
        <w:rPr>
          <w:rFonts w:hint="eastAsia" w:ascii="仿宋" w:hAnsi="仿宋" w:eastAsia="仿宋" w:cs="Times New Roman"/>
          <w:color w:val="000000"/>
          <w:sz w:val="30"/>
          <w:szCs w:val="30"/>
        </w:rPr>
        <w:t>，</w:t>
      </w:r>
      <w:r>
        <w:fldChar w:fldCharType="begin"/>
      </w:r>
      <w:r>
        <w:instrText xml:space="preserve"> HYPERLINK "http://baike.baidu.com/view/403371.htm" \t "_blank" </w:instrText>
      </w:r>
      <w:r>
        <w:fldChar w:fldCharType="separate"/>
      </w:r>
      <w:r>
        <w:rPr>
          <w:rFonts w:ascii="仿宋" w:hAnsi="仿宋" w:eastAsia="仿宋" w:cs="Times New Roman"/>
          <w:color w:val="000000"/>
          <w:sz w:val="30"/>
          <w:szCs w:val="30"/>
        </w:rPr>
        <w:t>技术经济论证</w:t>
      </w:r>
      <w:r>
        <w:rPr>
          <w:rFonts w:ascii="仿宋" w:hAnsi="仿宋" w:eastAsia="仿宋" w:cs="Times New Roman"/>
          <w:color w:val="000000"/>
          <w:sz w:val="30"/>
          <w:szCs w:val="30"/>
        </w:rPr>
        <w:fldChar w:fldCharType="end"/>
      </w:r>
      <w:r>
        <w:rPr>
          <w:rFonts w:hint="eastAsia" w:ascii="仿宋" w:hAnsi="仿宋" w:eastAsia="仿宋" w:cs="Times New Roman"/>
          <w:color w:val="000000"/>
          <w:sz w:val="30"/>
          <w:szCs w:val="30"/>
        </w:rPr>
        <w:t>，</w:t>
      </w:r>
      <w:r>
        <w:rPr>
          <w:rFonts w:ascii="仿宋" w:hAnsi="仿宋" w:eastAsia="仿宋" w:cs="Times New Roman"/>
          <w:color w:val="000000"/>
          <w:sz w:val="30"/>
          <w:szCs w:val="30"/>
        </w:rPr>
        <w:t>预期的</w:t>
      </w:r>
      <w:r>
        <w:fldChar w:fldCharType="begin"/>
      </w:r>
      <w:r>
        <w:instrText xml:space="preserve"> HYPERLINK "http://baike.baidu.com/view/1277218.htm" \t "_blank" </w:instrText>
      </w:r>
      <w:r>
        <w:fldChar w:fldCharType="separate"/>
      </w:r>
      <w:r>
        <w:rPr>
          <w:rFonts w:ascii="仿宋" w:hAnsi="仿宋" w:eastAsia="仿宋" w:cs="Times New Roman"/>
          <w:color w:val="000000"/>
          <w:sz w:val="30"/>
          <w:szCs w:val="30"/>
        </w:rPr>
        <w:t>经济效果</w:t>
      </w:r>
      <w:r>
        <w:rPr>
          <w:rFonts w:ascii="仿宋" w:hAnsi="仿宋" w:eastAsia="仿宋" w:cs="Times New Roman"/>
          <w:color w:val="000000"/>
          <w:sz w:val="30"/>
          <w:szCs w:val="30"/>
        </w:rPr>
        <w:fldChar w:fldCharType="end"/>
      </w:r>
    </w:p>
    <w:p w14:paraId="48741A34">
      <w:pPr>
        <w:spacing w:line="360" w:lineRule="auto"/>
        <w:ind w:left="420" w:leftChars="200"/>
        <w:rPr>
          <w:rFonts w:ascii="仿宋" w:hAnsi="仿宋" w:eastAsia="仿宋" w:cs="Times New Roman"/>
          <w:color w:val="000000"/>
          <w:sz w:val="30"/>
          <w:szCs w:val="30"/>
        </w:rPr>
      </w:pPr>
      <w:r>
        <w:rPr>
          <w:rFonts w:hint="eastAsia" w:ascii="仿宋" w:hAnsi="仿宋" w:eastAsia="仿宋" w:cs="Times New Roman"/>
          <w:color w:val="000000"/>
          <w:sz w:val="30"/>
          <w:szCs w:val="30"/>
        </w:rPr>
        <w:t>四、</w:t>
      </w:r>
      <w:r>
        <w:fldChar w:fldCharType="begin"/>
      </w:r>
      <w:r>
        <w:instrText xml:space="preserve"> HYPERLINK "http://baike.baidu.com/view/872143.htm" \t "_blank" </w:instrText>
      </w:r>
      <w:r>
        <w:fldChar w:fldCharType="separate"/>
      </w:r>
      <w:r>
        <w:rPr>
          <w:rFonts w:ascii="仿宋" w:hAnsi="仿宋" w:eastAsia="仿宋" w:cs="Times New Roman"/>
          <w:color w:val="000000"/>
          <w:sz w:val="30"/>
          <w:szCs w:val="30"/>
        </w:rPr>
        <w:t>采用国际标准</w:t>
      </w:r>
      <w:r>
        <w:rPr>
          <w:rFonts w:ascii="仿宋" w:hAnsi="仿宋" w:eastAsia="仿宋" w:cs="Times New Roman"/>
          <w:color w:val="000000"/>
          <w:sz w:val="30"/>
          <w:szCs w:val="30"/>
        </w:rPr>
        <w:fldChar w:fldCharType="end"/>
      </w:r>
      <w:r>
        <w:rPr>
          <w:rFonts w:ascii="仿宋" w:hAnsi="仿宋" w:eastAsia="仿宋" w:cs="Times New Roman"/>
          <w:color w:val="000000"/>
          <w:sz w:val="30"/>
          <w:szCs w:val="30"/>
        </w:rPr>
        <w:t>和</w:t>
      </w:r>
      <w:r>
        <w:fldChar w:fldCharType="begin"/>
      </w:r>
      <w:r>
        <w:instrText xml:space="preserve"> HYPERLINK "http://baike.baidu.com/view/2114240.htm" \t "_blank" </w:instrText>
      </w:r>
      <w:r>
        <w:fldChar w:fldCharType="separate"/>
      </w:r>
      <w:r>
        <w:rPr>
          <w:rFonts w:ascii="仿宋" w:hAnsi="仿宋" w:eastAsia="仿宋" w:cs="Times New Roman"/>
          <w:color w:val="000000"/>
          <w:sz w:val="30"/>
          <w:szCs w:val="30"/>
        </w:rPr>
        <w:t>国外先进标准</w:t>
      </w:r>
      <w:r>
        <w:rPr>
          <w:rFonts w:ascii="仿宋" w:hAnsi="仿宋" w:eastAsia="仿宋" w:cs="Times New Roman"/>
          <w:color w:val="000000"/>
          <w:sz w:val="30"/>
          <w:szCs w:val="30"/>
        </w:rPr>
        <w:fldChar w:fldCharType="end"/>
      </w:r>
      <w:r>
        <w:rPr>
          <w:rFonts w:ascii="仿宋" w:hAnsi="仿宋" w:eastAsia="仿宋" w:cs="Times New Roman"/>
          <w:color w:val="000000"/>
          <w:sz w:val="30"/>
          <w:szCs w:val="30"/>
        </w:rPr>
        <w:t>的程度</w:t>
      </w:r>
      <w:r>
        <w:rPr>
          <w:rFonts w:hint="eastAsia" w:ascii="仿宋" w:hAnsi="仿宋" w:eastAsia="仿宋" w:cs="Times New Roman"/>
          <w:color w:val="000000"/>
          <w:sz w:val="30"/>
          <w:szCs w:val="30"/>
        </w:rPr>
        <w:t>，以</w:t>
      </w:r>
      <w:r>
        <w:rPr>
          <w:rFonts w:ascii="仿宋" w:hAnsi="仿宋" w:eastAsia="仿宋" w:cs="Times New Roman"/>
          <w:color w:val="000000"/>
          <w:sz w:val="30"/>
          <w:szCs w:val="30"/>
        </w:rPr>
        <w:t>及与国际、国外同类标准水平的对比</w:t>
      </w:r>
      <w:r>
        <w:rPr>
          <w:rFonts w:hint="eastAsia" w:ascii="仿宋" w:hAnsi="仿宋" w:eastAsia="仿宋" w:cs="Times New Roman"/>
          <w:color w:val="000000"/>
          <w:sz w:val="30"/>
          <w:szCs w:val="30"/>
        </w:rPr>
        <w:t>，</w:t>
      </w:r>
      <w:r>
        <w:rPr>
          <w:rFonts w:ascii="仿宋" w:hAnsi="仿宋" w:eastAsia="仿宋" w:cs="Times New Roman"/>
          <w:color w:val="000000"/>
          <w:sz w:val="30"/>
          <w:szCs w:val="30"/>
        </w:rPr>
        <w:t>或与测试的国外样品、样机的有关数据对比</w:t>
      </w:r>
    </w:p>
    <w:p w14:paraId="24E55A74">
      <w:pPr>
        <w:spacing w:line="360" w:lineRule="auto"/>
        <w:ind w:firstLine="426" w:firstLineChars="142"/>
        <w:rPr>
          <w:rFonts w:ascii="仿宋" w:hAnsi="仿宋" w:eastAsia="仿宋" w:cs="Times New Roman"/>
          <w:color w:val="000000"/>
          <w:sz w:val="30"/>
          <w:szCs w:val="30"/>
        </w:rPr>
      </w:pPr>
      <w:r>
        <w:rPr>
          <w:rFonts w:hint="eastAsia" w:ascii="仿宋" w:hAnsi="仿宋" w:eastAsia="仿宋" w:cs="Times New Roman"/>
          <w:color w:val="000000"/>
          <w:sz w:val="30"/>
          <w:szCs w:val="30"/>
        </w:rPr>
        <w:t>五、</w:t>
      </w:r>
      <w:r>
        <w:rPr>
          <w:rFonts w:ascii="仿宋" w:hAnsi="仿宋" w:eastAsia="仿宋" w:cs="Times New Roman"/>
          <w:color w:val="000000"/>
          <w:sz w:val="30"/>
          <w:szCs w:val="30"/>
        </w:rPr>
        <w:t>与有关的现行法律、法规和强制性标准的关系</w:t>
      </w:r>
    </w:p>
    <w:p w14:paraId="055207A1">
      <w:pPr>
        <w:spacing w:line="360" w:lineRule="auto"/>
        <w:ind w:firstLine="426" w:firstLineChars="142"/>
        <w:rPr>
          <w:rFonts w:ascii="仿宋" w:hAnsi="仿宋" w:eastAsia="仿宋" w:cs="Times New Roman"/>
          <w:color w:val="000000"/>
          <w:sz w:val="30"/>
          <w:szCs w:val="30"/>
        </w:rPr>
      </w:pPr>
      <w:r>
        <w:rPr>
          <w:rFonts w:hint="eastAsia" w:ascii="仿宋" w:hAnsi="仿宋" w:eastAsia="仿宋" w:cs="Times New Roman"/>
          <w:color w:val="000000"/>
          <w:sz w:val="30"/>
          <w:szCs w:val="30"/>
        </w:rPr>
        <w:t>六、</w:t>
      </w:r>
      <w:r>
        <w:rPr>
          <w:rFonts w:ascii="仿宋" w:hAnsi="仿宋" w:eastAsia="仿宋" w:cs="Times New Roman"/>
          <w:color w:val="000000"/>
          <w:sz w:val="30"/>
          <w:szCs w:val="30"/>
        </w:rPr>
        <w:t>重大分歧意见的处理经过和依据</w:t>
      </w:r>
    </w:p>
    <w:p w14:paraId="3856114D">
      <w:pPr>
        <w:spacing w:line="360" w:lineRule="auto"/>
        <w:ind w:firstLine="426" w:firstLineChars="142"/>
        <w:rPr>
          <w:rFonts w:ascii="仿宋" w:hAnsi="仿宋" w:eastAsia="仿宋" w:cs="Times New Roman"/>
          <w:color w:val="000000"/>
          <w:sz w:val="30"/>
          <w:szCs w:val="30"/>
        </w:rPr>
      </w:pPr>
      <w:r>
        <w:rPr>
          <w:rFonts w:hint="eastAsia" w:ascii="仿宋" w:hAnsi="仿宋" w:eastAsia="仿宋" w:cs="Times New Roman"/>
          <w:color w:val="000000"/>
          <w:sz w:val="30"/>
          <w:szCs w:val="30"/>
        </w:rPr>
        <w:t>七、</w:t>
      </w:r>
      <w:r>
        <w:rPr>
          <w:rFonts w:ascii="仿宋" w:hAnsi="仿宋" w:eastAsia="仿宋" w:cs="Times New Roman"/>
          <w:color w:val="000000"/>
          <w:sz w:val="30"/>
          <w:szCs w:val="30"/>
        </w:rPr>
        <w:t>标准作为强制性标准或推荐性标准的建议</w:t>
      </w:r>
    </w:p>
    <w:p w14:paraId="25DA2284">
      <w:pPr>
        <w:spacing w:line="360" w:lineRule="auto"/>
        <w:ind w:firstLine="426" w:firstLineChars="142"/>
        <w:rPr>
          <w:rFonts w:ascii="仿宋" w:hAnsi="仿宋" w:eastAsia="仿宋" w:cs="Times New Roman"/>
          <w:color w:val="000000"/>
          <w:sz w:val="30"/>
          <w:szCs w:val="30"/>
        </w:rPr>
      </w:pPr>
      <w:r>
        <w:rPr>
          <w:rFonts w:hint="eastAsia" w:ascii="仿宋" w:hAnsi="仿宋" w:eastAsia="仿宋" w:cs="Times New Roman"/>
          <w:color w:val="000000"/>
          <w:sz w:val="30"/>
          <w:szCs w:val="30"/>
        </w:rPr>
        <w:t>八、</w:t>
      </w:r>
      <w:r>
        <w:rPr>
          <w:rFonts w:ascii="仿宋" w:hAnsi="仿宋" w:eastAsia="仿宋" w:cs="Times New Roman"/>
          <w:color w:val="000000"/>
          <w:sz w:val="30"/>
          <w:szCs w:val="30"/>
        </w:rPr>
        <w:t>贯彻标准的要求和措施建议</w:t>
      </w:r>
    </w:p>
    <w:p w14:paraId="1AA25AA2">
      <w:pPr>
        <w:spacing w:line="360" w:lineRule="auto"/>
        <w:ind w:firstLine="426" w:firstLineChars="142"/>
        <w:rPr>
          <w:rFonts w:ascii="仿宋" w:hAnsi="仿宋" w:eastAsia="仿宋" w:cs="Times New Roman"/>
          <w:color w:val="000000"/>
          <w:sz w:val="30"/>
          <w:szCs w:val="30"/>
        </w:rPr>
      </w:pPr>
      <w:r>
        <w:rPr>
          <w:rFonts w:hint="eastAsia" w:ascii="仿宋" w:hAnsi="仿宋" w:eastAsia="仿宋" w:cs="Times New Roman"/>
          <w:color w:val="000000"/>
          <w:sz w:val="30"/>
          <w:szCs w:val="30"/>
        </w:rPr>
        <w:t>九、</w:t>
      </w:r>
      <w:r>
        <w:rPr>
          <w:rFonts w:ascii="仿宋" w:hAnsi="仿宋" w:eastAsia="仿宋" w:cs="Times New Roman"/>
          <w:color w:val="000000"/>
          <w:sz w:val="30"/>
          <w:szCs w:val="30"/>
        </w:rPr>
        <w:t>废止现行有关标准的建议</w:t>
      </w:r>
    </w:p>
    <w:p w14:paraId="018AE2AD">
      <w:pPr>
        <w:spacing w:line="360" w:lineRule="auto"/>
        <w:ind w:firstLine="426" w:firstLineChars="142"/>
        <w:rPr>
          <w:rFonts w:ascii="仿宋" w:hAnsi="仿宋" w:eastAsia="仿宋" w:cs="Times New Roman"/>
          <w:color w:val="000000"/>
          <w:sz w:val="30"/>
          <w:szCs w:val="30"/>
        </w:rPr>
      </w:pPr>
      <w:r>
        <w:rPr>
          <w:rFonts w:hint="eastAsia" w:ascii="仿宋" w:hAnsi="仿宋" w:eastAsia="仿宋" w:cs="Times New Roman"/>
          <w:color w:val="000000"/>
          <w:sz w:val="30"/>
          <w:szCs w:val="30"/>
        </w:rPr>
        <w:t>十、</w:t>
      </w:r>
      <w:r>
        <w:rPr>
          <w:rFonts w:ascii="仿宋" w:hAnsi="仿宋" w:eastAsia="仿宋" w:cs="Times New Roman"/>
          <w:color w:val="000000"/>
          <w:sz w:val="30"/>
          <w:szCs w:val="30"/>
        </w:rPr>
        <w:t>其他应予说明的事项</w:t>
      </w:r>
    </w:p>
    <w:p w14:paraId="0590C5FE">
      <w:pPr>
        <w:pStyle w:val="2"/>
        <w:keepNext w:val="0"/>
        <w:keepLines w:val="0"/>
        <w:spacing w:before="240" w:after="0" w:line="240" w:lineRule="auto"/>
        <w:jc w:val="center"/>
        <w:rPr>
          <w:rFonts w:ascii="Times New Roman" w:hAnsi="Times New Roman" w:eastAsia="黑体" w:cs="Times New Roman"/>
          <w:sz w:val="40"/>
          <w:szCs w:val="36"/>
        </w:rPr>
      </w:pPr>
    </w:p>
    <w:p w14:paraId="2B4807AD">
      <w:pPr>
        <w:pStyle w:val="2"/>
        <w:keepNext w:val="0"/>
        <w:keepLines w:val="0"/>
        <w:spacing w:before="240" w:after="0" w:line="240" w:lineRule="auto"/>
        <w:jc w:val="center"/>
        <w:rPr>
          <w:rFonts w:ascii="Times New Roman" w:hAnsi="Times New Roman" w:eastAsia="黑体" w:cs="Times New Roman"/>
          <w:sz w:val="40"/>
          <w:szCs w:val="36"/>
        </w:rPr>
      </w:pPr>
    </w:p>
    <w:p w14:paraId="2CE4CC49">
      <w:pPr>
        <w:pStyle w:val="2"/>
        <w:keepNext w:val="0"/>
        <w:keepLines w:val="0"/>
        <w:spacing w:before="240" w:after="0" w:line="240" w:lineRule="auto"/>
        <w:jc w:val="center"/>
        <w:rPr>
          <w:rFonts w:ascii="Times New Roman" w:hAnsi="Times New Roman" w:eastAsia="黑体" w:cs="Times New Roman"/>
          <w:sz w:val="40"/>
          <w:szCs w:val="36"/>
        </w:rPr>
      </w:pPr>
    </w:p>
    <w:p w14:paraId="5161A2E1">
      <w:pPr>
        <w:pStyle w:val="2"/>
        <w:keepNext w:val="0"/>
        <w:keepLines w:val="0"/>
        <w:spacing w:before="240" w:after="0" w:line="240" w:lineRule="auto"/>
        <w:jc w:val="center"/>
        <w:rPr>
          <w:rFonts w:ascii="Times New Roman" w:hAnsi="Times New Roman" w:eastAsia="黑体" w:cs="Times New Roman"/>
          <w:sz w:val="40"/>
          <w:szCs w:val="36"/>
        </w:rPr>
      </w:pPr>
      <w:r>
        <w:rPr>
          <w:rFonts w:ascii="Times New Roman" w:hAnsi="Times New Roman" w:eastAsia="黑体" w:cs="Times New Roman"/>
          <w:sz w:val="40"/>
          <w:szCs w:val="36"/>
        </w:rPr>
        <w:br w:type="page"/>
      </w:r>
    </w:p>
    <w:p w14:paraId="2B90318C">
      <w:pPr>
        <w:pStyle w:val="2"/>
        <w:keepNext w:val="0"/>
        <w:keepLines w:val="0"/>
        <w:spacing w:before="240" w:after="0" w:line="240" w:lineRule="auto"/>
        <w:jc w:val="center"/>
        <w:rPr>
          <w:rFonts w:ascii="Times New Roman" w:hAnsi="Times New Roman" w:cs="Times New Roman"/>
        </w:rPr>
      </w:pPr>
      <w:r>
        <w:rPr>
          <w:rFonts w:ascii="Times New Roman" w:hAnsi="Times New Roman" w:eastAsia="黑体" w:cs="Times New Roman"/>
          <w:sz w:val="40"/>
          <w:szCs w:val="36"/>
        </w:rPr>
        <w:t>《</w:t>
      </w:r>
      <w:r>
        <w:rPr>
          <w:rFonts w:hint="eastAsia" w:ascii="Times New Roman" w:hAnsi="Times New Roman" w:eastAsia="黑体" w:cs="Times New Roman"/>
          <w:sz w:val="40"/>
          <w:szCs w:val="36"/>
        </w:rPr>
        <w:t>超高层建筑施工测量规范</w:t>
      </w:r>
      <w:r>
        <w:rPr>
          <w:rFonts w:ascii="Times New Roman" w:hAnsi="Times New Roman" w:eastAsia="黑体" w:cs="Times New Roman"/>
          <w:sz w:val="40"/>
          <w:szCs w:val="36"/>
        </w:rPr>
        <w:t>》</w:t>
      </w:r>
    </w:p>
    <w:p w14:paraId="556CE946">
      <w:pPr>
        <w:pStyle w:val="2"/>
        <w:keepNext w:val="0"/>
        <w:keepLines w:val="0"/>
        <w:spacing w:before="0" w:after="240" w:line="240" w:lineRule="auto"/>
        <w:jc w:val="center"/>
        <w:rPr>
          <w:rFonts w:ascii="Times New Roman" w:hAnsi="Times New Roman" w:eastAsia="黑体" w:cs="Times New Roman"/>
        </w:rPr>
      </w:pPr>
      <w:r>
        <w:rPr>
          <w:rFonts w:ascii="Times New Roman" w:hAnsi="Times New Roman" w:eastAsia="黑体" w:cs="Times New Roman"/>
        </w:rPr>
        <w:t>编制说明</w:t>
      </w:r>
    </w:p>
    <w:p w14:paraId="320C8994">
      <w:pPr>
        <w:pStyle w:val="3"/>
        <w:keepNext w:val="0"/>
        <w:keepLines w:val="0"/>
        <w:numPr>
          <w:ilvl w:val="0"/>
          <w:numId w:val="2"/>
        </w:numPr>
        <w:spacing w:before="0" w:after="0" w:line="240" w:lineRule="auto"/>
        <w:ind w:left="0" w:firstLine="0"/>
        <w:rPr>
          <w:rFonts w:ascii="黑体" w:hAnsi="黑体" w:eastAsia="黑体" w:cs="Times New Roman"/>
          <w:b w:val="0"/>
        </w:rPr>
      </w:pPr>
      <w:r>
        <w:rPr>
          <w:rFonts w:ascii="黑体" w:hAnsi="黑体" w:eastAsia="黑体" w:cs="Times New Roman"/>
          <w:b w:val="0"/>
        </w:rPr>
        <w:t>工作</w:t>
      </w:r>
      <w:r>
        <w:rPr>
          <w:rFonts w:hint="eastAsia" w:ascii="黑体" w:hAnsi="黑体" w:eastAsia="黑体" w:cs="Times New Roman"/>
          <w:b w:val="0"/>
        </w:rPr>
        <w:t>简况</w:t>
      </w:r>
    </w:p>
    <w:p w14:paraId="6EC6CECB">
      <w:pPr>
        <w:pStyle w:val="18"/>
        <w:numPr>
          <w:ilvl w:val="0"/>
          <w:numId w:val="3"/>
        </w:numPr>
        <w:ind w:firstLineChars="0"/>
        <w:rPr>
          <w:rFonts w:ascii="Times New Roman" w:hAnsi="Times New Roman" w:eastAsia="仿宋" w:cs="Times New Roman"/>
          <w:b/>
          <w:sz w:val="30"/>
          <w:szCs w:val="30"/>
        </w:rPr>
      </w:pPr>
      <w:r>
        <w:rPr>
          <w:rFonts w:ascii="Times New Roman" w:hAnsi="Times New Roman" w:eastAsia="仿宋" w:cs="Times New Roman"/>
          <w:b/>
          <w:sz w:val="30"/>
          <w:szCs w:val="30"/>
        </w:rPr>
        <w:t>任务来源</w:t>
      </w:r>
    </w:p>
    <w:p w14:paraId="4AB54781">
      <w:pPr>
        <w:adjustRightInd w:val="0"/>
        <w:snapToGrid w:val="0"/>
        <w:spacing w:line="300" w:lineRule="auto"/>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根据自然资源部办公厅关于印发2</w:t>
      </w:r>
      <w:r>
        <w:rPr>
          <w:rFonts w:ascii="Times New Roman" w:hAnsi="Times New Roman" w:eastAsia="仿宋" w:cs="Times New Roman"/>
          <w:sz w:val="30"/>
          <w:szCs w:val="30"/>
        </w:rPr>
        <w:t>024</w:t>
      </w:r>
      <w:r>
        <w:rPr>
          <w:rFonts w:hint="eastAsia" w:ascii="Times New Roman" w:hAnsi="Times New Roman" w:eastAsia="仿宋" w:cs="Times New Roman"/>
          <w:sz w:val="30"/>
          <w:szCs w:val="30"/>
        </w:rPr>
        <w:t>年度自然资源标准制定工作计划的通知，行业标准《超高层建筑施工测量规范》被列入立项计划，并通过了自然资源标准化工作管理委员会审议。</w:t>
      </w:r>
    </w:p>
    <w:p w14:paraId="2DAFB84D">
      <w:pPr>
        <w:pStyle w:val="18"/>
        <w:numPr>
          <w:ilvl w:val="0"/>
          <w:numId w:val="3"/>
        </w:numPr>
        <w:ind w:firstLineChars="0"/>
        <w:rPr>
          <w:rFonts w:ascii="Times New Roman" w:hAnsi="Times New Roman" w:eastAsia="仿宋" w:cs="Times New Roman"/>
          <w:b/>
          <w:sz w:val="30"/>
          <w:szCs w:val="30"/>
        </w:rPr>
      </w:pPr>
      <w:r>
        <w:rPr>
          <w:rFonts w:hint="eastAsia" w:ascii="Times New Roman" w:hAnsi="Times New Roman" w:eastAsia="仿宋" w:cs="Times New Roman"/>
          <w:b/>
          <w:sz w:val="30"/>
          <w:szCs w:val="30"/>
        </w:rPr>
        <w:t>目的意义</w:t>
      </w:r>
    </w:p>
    <w:p w14:paraId="0899510D">
      <w:pPr>
        <w:adjustRightInd w:val="0"/>
        <w:snapToGrid w:val="0"/>
        <w:spacing w:line="300" w:lineRule="auto"/>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在我国，建筑高度大于100.0m被定义为超高层建筑。全球高层建筑的数量呈逐年递增的趋势，而亚洲地区成为了高层建筑的集中地，中国更是缔造了许多高层建筑的记录，已经成为世界超高层建筑的主要聚集地。 “向天要地”“向上发展”是城市化发展的重要阶段，超高层建筑占地面积小、价值高，对建筑质量安全要求最高。全球各国都曾掀起超高层建筑热潮，摩天大楼也成为了国际各大城市的地标与名片。毋容置疑，超高层建筑对于推进节约集约用地、塑造城市风貌、打造形态优美天际线、缓解人口增长和土地稀缺矛盾等都具有重要意义，此外，它也汇集了建筑、结构、机械设备、建筑材料和施工技术等科技最高成就。</w:t>
      </w:r>
    </w:p>
    <w:p w14:paraId="2AA3D020">
      <w:pPr>
        <w:adjustRightInd w:val="0"/>
        <w:snapToGrid w:val="0"/>
        <w:spacing w:line="300" w:lineRule="auto"/>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建筑高度的增加，给工程的施工测量提出了更高、更严格的要求，也带来了巨大挑战。超高层建筑施工测量不仅有平面和高程控制网的测量，还包括其在垂直方向上的高精度传递测量技术，因此它所面临的干扰更多，影响因素更为复杂。随着超高层建筑高度更高，体量更大，结构更复杂，超过300米时的自身晃动、楼体摆动幅度逐渐增大，平面和标高的高精度传递是一个世界难题。超高层建筑施工期间自身晃动、楼体摆动随着高度增加而增大，施工变形也越来越难以控制。施工中没有标准无法做到施工测量方法的规范性和统一性。特别是在“一带一路”沿线建设工程中，许多项目需要借助中国标准进行施工，目前国家还没有统一的超高层建筑的测量技术标准。同时，超高层建筑施工测量涉及到高空作业和危险区域测量等环境，对测量人员的安全也存在隐患。</w:t>
      </w:r>
    </w:p>
    <w:p w14:paraId="4BBBF41F">
      <w:pPr>
        <w:adjustRightInd w:val="0"/>
        <w:snapToGrid w:val="0"/>
        <w:spacing w:line="300" w:lineRule="auto"/>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因此，制定《超高层建筑施工测量规范》用技术立法的形式规范统一超高层建筑测量工作的技术方法、流程和标准，对确保施工安全、提高施工质量、增强施工效率并促进施工管理有着重要指导意义。此外，借助国家“一带一路”倡议，标准国内试点、海外应用，弥补国内标准空白的同时，大力推动中国标准“走出去”，让更大范围的国际市场接受和采用中国标准，提高我国国际话语权。</w:t>
      </w:r>
    </w:p>
    <w:p w14:paraId="6D0F880E">
      <w:pPr>
        <w:pStyle w:val="18"/>
        <w:numPr>
          <w:ilvl w:val="0"/>
          <w:numId w:val="3"/>
        </w:numPr>
        <w:ind w:firstLineChars="0"/>
        <w:rPr>
          <w:rFonts w:ascii="Times New Roman" w:hAnsi="Times New Roman" w:eastAsia="仿宋" w:cs="Times New Roman"/>
          <w:b/>
          <w:sz w:val="30"/>
          <w:szCs w:val="30"/>
        </w:rPr>
      </w:pPr>
      <w:r>
        <w:rPr>
          <w:rFonts w:hint="eastAsia" w:ascii="Times New Roman" w:hAnsi="Times New Roman" w:eastAsia="仿宋" w:cs="Times New Roman"/>
          <w:b/>
          <w:sz w:val="30"/>
          <w:szCs w:val="30"/>
        </w:rPr>
        <w:t>起草单位及主要起草人</w:t>
      </w:r>
    </w:p>
    <w:p w14:paraId="57B9B022">
      <w:pPr>
        <w:pStyle w:val="29"/>
        <w:numPr>
          <w:ilvl w:val="0"/>
          <w:numId w:val="4"/>
        </w:numPr>
        <w:adjustRightInd w:val="0"/>
        <w:snapToGrid w:val="0"/>
        <w:spacing w:line="276" w:lineRule="auto"/>
        <w:ind w:firstLineChars="0"/>
        <w:rPr>
          <w:rFonts w:ascii="仿宋" w:hAnsi="仿宋" w:eastAsia="仿宋" w:cs="Times New Roman"/>
          <w:b/>
          <w:color w:val="000000"/>
          <w:sz w:val="30"/>
          <w:szCs w:val="30"/>
        </w:rPr>
      </w:pPr>
      <w:r>
        <w:rPr>
          <w:rFonts w:hint="eastAsia" w:ascii="仿宋" w:hAnsi="仿宋" w:eastAsia="仿宋" w:cs="Times New Roman"/>
          <w:b/>
          <w:color w:val="000000"/>
          <w:sz w:val="30"/>
          <w:szCs w:val="30"/>
        </w:rPr>
        <w:t>承担单位和协作单位</w:t>
      </w:r>
    </w:p>
    <w:p w14:paraId="59053C33">
      <w:pPr>
        <w:adjustRightInd w:val="0"/>
        <w:snapToGrid w:val="0"/>
        <w:spacing w:line="300" w:lineRule="auto"/>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本规范由北京测绘学会、北京中建华海测绘科技有限公司作为主要承担单位牵头起草，协作单位主要有中建一局集团建设发展有限公司、北京市测绘设计研究院、中船勘察设计研究院有限公司、上海市测绘院、北京中天路通智控科技有限公司、天津市测绘院、深圳市勘察测绘院(集团)有限公司、北京市勘察设计研究院、中国建筑材料工业地质勘查中心辽宁总队、重庆市测绘科学技术研究院、北京华星勘查新技术有限公司、武汉市房产测绘中心、北京建筑大学、中节能建设工程设计院有限公司、中建宏达建筑有限公司、广州市城市规划勘测设计研究院、杭州同济测绘有限公司。</w:t>
      </w:r>
    </w:p>
    <w:p w14:paraId="12A3303A">
      <w:pPr>
        <w:pStyle w:val="29"/>
        <w:numPr>
          <w:ilvl w:val="0"/>
          <w:numId w:val="4"/>
        </w:numPr>
        <w:adjustRightInd w:val="0"/>
        <w:snapToGrid w:val="0"/>
        <w:spacing w:line="276" w:lineRule="auto"/>
        <w:ind w:firstLineChars="0"/>
        <w:rPr>
          <w:rFonts w:ascii="仿宋" w:hAnsi="仿宋" w:eastAsia="仿宋" w:cs="Times New Roman"/>
          <w:b/>
          <w:sz w:val="30"/>
          <w:szCs w:val="30"/>
        </w:rPr>
      </w:pPr>
      <w:r>
        <w:rPr>
          <w:rFonts w:ascii="仿宋" w:hAnsi="仿宋" w:eastAsia="仿宋" w:cs="Times New Roman"/>
          <w:b/>
          <w:sz w:val="30"/>
          <w:szCs w:val="30"/>
        </w:rPr>
        <w:t>主要起草人及其所做工作</w:t>
      </w:r>
    </w:p>
    <w:p w14:paraId="39F71D40">
      <w:pPr>
        <w:adjustRightInd w:val="0"/>
        <w:snapToGrid w:val="0"/>
        <w:spacing w:line="300" w:lineRule="auto"/>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各起草人及主要起草工作：杨伯钢，第1章 范围；张胜良，第</w:t>
      </w:r>
      <w:r>
        <w:fldChar w:fldCharType="begin"/>
      </w:r>
      <w:r>
        <w:instrText xml:space="preserve"> HYPERLINK \l "_Toc154652316" </w:instrText>
      </w:r>
      <w:r>
        <w:fldChar w:fldCharType="separate"/>
      </w:r>
      <w:r>
        <w:rPr>
          <w:rFonts w:ascii="Times New Roman" w:hAnsi="Times New Roman" w:eastAsia="仿宋" w:cs="Times New Roman"/>
          <w:sz w:val="30"/>
          <w:szCs w:val="30"/>
        </w:rPr>
        <w:t>2</w:t>
      </w:r>
      <w:r>
        <w:rPr>
          <w:rFonts w:hint="eastAsia" w:ascii="Times New Roman" w:hAnsi="Times New Roman" w:eastAsia="仿宋" w:cs="Times New Roman"/>
          <w:sz w:val="30"/>
          <w:szCs w:val="30"/>
        </w:rPr>
        <w:t>章</w:t>
      </w:r>
      <w:r>
        <w:rPr>
          <w:rFonts w:ascii="Times New Roman" w:hAnsi="Times New Roman" w:eastAsia="仿宋" w:cs="Times New Roman"/>
          <w:sz w:val="30"/>
          <w:szCs w:val="30"/>
        </w:rPr>
        <w:t xml:space="preserve"> 规范性引用文件</w:t>
      </w:r>
      <w:r>
        <w:rPr>
          <w:rFonts w:ascii="Times New Roman" w:hAnsi="Times New Roman" w:eastAsia="仿宋" w:cs="Times New Roman"/>
          <w:sz w:val="30"/>
          <w:szCs w:val="30"/>
        </w:rPr>
        <w:fldChar w:fldCharType="end"/>
      </w:r>
      <w:r>
        <w:rPr>
          <w:rFonts w:hint="eastAsia" w:ascii="Times New Roman" w:hAnsi="Times New Roman" w:eastAsia="仿宋" w:cs="Times New Roman"/>
          <w:sz w:val="30"/>
          <w:szCs w:val="30"/>
        </w:rPr>
        <w:t>、第</w:t>
      </w:r>
      <w:r>
        <w:fldChar w:fldCharType="begin"/>
      </w:r>
      <w:r>
        <w:instrText xml:space="preserve"> HYPERLINK \l "_Toc154652316" </w:instrText>
      </w:r>
      <w:r>
        <w:fldChar w:fldCharType="separate"/>
      </w:r>
      <w:r>
        <w:rPr>
          <w:rFonts w:ascii="Times New Roman" w:hAnsi="Times New Roman" w:eastAsia="仿宋" w:cs="Times New Roman"/>
          <w:sz w:val="30"/>
          <w:szCs w:val="30"/>
        </w:rPr>
        <w:t>3</w:t>
      </w:r>
      <w:r>
        <w:rPr>
          <w:rFonts w:hint="eastAsia" w:ascii="Times New Roman" w:hAnsi="Times New Roman" w:eastAsia="仿宋" w:cs="Times New Roman"/>
          <w:sz w:val="30"/>
          <w:szCs w:val="30"/>
        </w:rPr>
        <w:t>章</w:t>
      </w:r>
      <w:r>
        <w:rPr>
          <w:rFonts w:ascii="Times New Roman" w:hAnsi="Times New Roman" w:eastAsia="仿宋" w:cs="Times New Roman"/>
          <w:sz w:val="30"/>
          <w:szCs w:val="30"/>
        </w:rPr>
        <w:t xml:space="preserve"> </w:t>
      </w:r>
      <w:r>
        <w:rPr>
          <w:rFonts w:hint="eastAsia" w:ascii="Times New Roman" w:hAnsi="Times New Roman" w:eastAsia="仿宋" w:cs="Times New Roman"/>
          <w:sz w:val="30"/>
          <w:szCs w:val="30"/>
        </w:rPr>
        <w:t>术语和定义；</w:t>
      </w:r>
      <w:r>
        <w:rPr>
          <w:rFonts w:hint="eastAsia" w:ascii="Times New Roman" w:hAnsi="Times New Roman" w:eastAsia="仿宋" w:cs="Times New Roman"/>
          <w:sz w:val="30"/>
          <w:szCs w:val="30"/>
        </w:rPr>
        <w:fldChar w:fldCharType="end"/>
      </w:r>
      <w:r>
        <w:rPr>
          <w:rFonts w:hint="eastAsia" w:ascii="Times New Roman" w:hAnsi="Times New Roman" w:eastAsia="仿宋" w:cs="Times New Roman"/>
          <w:sz w:val="30"/>
          <w:szCs w:val="30"/>
        </w:rPr>
        <w:t>易致礼、孙仕林，第4章 基本规定；张麟、李江舟，第</w:t>
      </w:r>
      <w:r>
        <w:rPr>
          <w:rFonts w:ascii="Times New Roman" w:hAnsi="Times New Roman" w:eastAsia="仿宋" w:cs="Times New Roman"/>
          <w:sz w:val="30"/>
          <w:szCs w:val="30"/>
        </w:rPr>
        <w:t>5</w:t>
      </w:r>
      <w:r>
        <w:rPr>
          <w:rFonts w:hint="eastAsia" w:ascii="Times New Roman" w:hAnsi="Times New Roman" w:eastAsia="仿宋" w:cs="Times New Roman"/>
          <w:sz w:val="30"/>
          <w:szCs w:val="30"/>
        </w:rPr>
        <w:t>章 平面控制测量；汪伟、李中洲，第</w:t>
      </w:r>
      <w:r>
        <w:rPr>
          <w:rFonts w:ascii="Times New Roman" w:hAnsi="Times New Roman" w:eastAsia="仿宋" w:cs="Times New Roman"/>
          <w:sz w:val="30"/>
          <w:szCs w:val="30"/>
        </w:rPr>
        <w:t>6</w:t>
      </w:r>
      <w:r>
        <w:rPr>
          <w:rFonts w:hint="eastAsia" w:ascii="Times New Roman" w:hAnsi="Times New Roman" w:eastAsia="仿宋" w:cs="Times New Roman"/>
          <w:sz w:val="30"/>
          <w:szCs w:val="30"/>
        </w:rPr>
        <w:t>章 高程控制测量；王珍、曹佃龙，第</w:t>
      </w:r>
      <w:r>
        <w:rPr>
          <w:rFonts w:ascii="Times New Roman" w:hAnsi="Times New Roman" w:eastAsia="仿宋" w:cs="Times New Roman"/>
          <w:sz w:val="30"/>
          <w:szCs w:val="30"/>
        </w:rPr>
        <w:t>7</w:t>
      </w:r>
      <w:r>
        <w:rPr>
          <w:rFonts w:hint="eastAsia" w:ascii="Times New Roman" w:hAnsi="Times New Roman" w:eastAsia="仿宋" w:cs="Times New Roman"/>
          <w:sz w:val="30"/>
          <w:szCs w:val="30"/>
        </w:rPr>
        <w:t xml:space="preserve">章 深基坑监测；黄曙亮、向泽君、杨锐，第8章 </w:t>
      </w:r>
      <w:r>
        <w:rPr>
          <w:rFonts w:ascii="Times New Roman" w:hAnsi="Times New Roman" w:eastAsia="仿宋" w:cs="Times New Roman"/>
          <w:sz w:val="30"/>
          <w:szCs w:val="30"/>
        </w:rPr>
        <w:t>主体结构测量</w:t>
      </w:r>
      <w:r>
        <w:rPr>
          <w:rFonts w:hint="eastAsia" w:ascii="Times New Roman" w:hAnsi="Times New Roman" w:eastAsia="仿宋" w:cs="Times New Roman"/>
          <w:sz w:val="30"/>
          <w:szCs w:val="30"/>
        </w:rPr>
        <w:t>；焦俊娟、余本才，第</w:t>
      </w:r>
      <w:r>
        <w:rPr>
          <w:rFonts w:ascii="Times New Roman" w:hAnsi="Times New Roman" w:eastAsia="仿宋" w:cs="Times New Roman"/>
          <w:sz w:val="30"/>
          <w:szCs w:val="30"/>
        </w:rPr>
        <w:t>9</w:t>
      </w:r>
      <w:r>
        <w:rPr>
          <w:rFonts w:hint="eastAsia" w:ascii="Times New Roman" w:hAnsi="Times New Roman" w:eastAsia="仿宋" w:cs="Times New Roman"/>
          <w:sz w:val="30"/>
          <w:szCs w:val="30"/>
        </w:rPr>
        <w:t>章 机电安装和装饰测量；刘祥磊、程光冉、于亦龙；第10章 结构变形及健康监测；赵小阳、何忠平，第1</w:t>
      </w:r>
      <w:r>
        <w:rPr>
          <w:rFonts w:ascii="Times New Roman" w:hAnsi="Times New Roman" w:eastAsia="仿宋" w:cs="Times New Roman"/>
          <w:sz w:val="30"/>
          <w:szCs w:val="30"/>
        </w:rPr>
        <w:t>1</w:t>
      </w:r>
      <w:r>
        <w:rPr>
          <w:rFonts w:hint="eastAsia" w:ascii="Times New Roman" w:hAnsi="Times New Roman" w:eastAsia="仿宋" w:cs="Times New Roman"/>
          <w:sz w:val="30"/>
          <w:szCs w:val="30"/>
        </w:rPr>
        <w:t xml:space="preserve">章 </w:t>
      </w:r>
      <w:r>
        <w:rPr>
          <w:rFonts w:ascii="Times New Roman" w:hAnsi="Times New Roman" w:eastAsia="仿宋" w:cs="Times New Roman"/>
          <w:sz w:val="30"/>
          <w:szCs w:val="30"/>
        </w:rPr>
        <w:t>竣工测量</w:t>
      </w:r>
      <w:r>
        <w:rPr>
          <w:rFonts w:hint="eastAsia" w:ascii="Times New Roman" w:hAnsi="Times New Roman" w:eastAsia="仿宋" w:cs="Times New Roman"/>
          <w:sz w:val="30"/>
          <w:szCs w:val="30"/>
        </w:rPr>
        <w:t>。</w:t>
      </w:r>
    </w:p>
    <w:p w14:paraId="37F04FA1">
      <w:pPr>
        <w:pStyle w:val="18"/>
        <w:numPr>
          <w:ilvl w:val="0"/>
          <w:numId w:val="3"/>
        </w:numPr>
        <w:ind w:firstLineChars="0"/>
        <w:rPr>
          <w:rFonts w:ascii="仿宋" w:hAnsi="仿宋" w:eastAsia="仿宋" w:cs="Times New Roman"/>
          <w:b/>
          <w:sz w:val="30"/>
          <w:szCs w:val="30"/>
        </w:rPr>
      </w:pPr>
      <w:r>
        <w:rPr>
          <w:rFonts w:ascii="Times New Roman" w:hAnsi="Times New Roman" w:eastAsia="仿宋" w:cs="Times New Roman"/>
          <w:b/>
          <w:sz w:val="30"/>
          <w:szCs w:val="30"/>
        </w:rPr>
        <w:t>主要工作过程</w:t>
      </w:r>
    </w:p>
    <w:p w14:paraId="0915493B">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1）立项启动</w:t>
      </w:r>
    </w:p>
    <w:p w14:paraId="2EE95BA5">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自然资源部办公厅关于印发2024年度自然资源标准制定工作计划的通知下达后，北京测绘学会、北京中建华海测绘科技有限公司等主参编单位技术骨干成立标准工作组，于202</w:t>
      </w:r>
      <w:r>
        <w:rPr>
          <w:rFonts w:ascii="仿宋" w:hAnsi="仿宋" w:eastAsia="仿宋" w:cs="Times New Roman"/>
          <w:color w:val="000000"/>
          <w:sz w:val="30"/>
          <w:szCs w:val="30"/>
        </w:rPr>
        <w:t>4</w:t>
      </w:r>
      <w:r>
        <w:rPr>
          <w:rFonts w:hint="eastAsia" w:ascii="仿宋" w:hAnsi="仿宋" w:eastAsia="仿宋" w:cs="Times New Roman"/>
          <w:color w:val="000000"/>
          <w:sz w:val="30"/>
          <w:szCs w:val="30"/>
        </w:rPr>
        <w:t>年</w:t>
      </w:r>
      <w:r>
        <w:rPr>
          <w:rFonts w:ascii="仿宋" w:hAnsi="仿宋" w:eastAsia="仿宋" w:cs="Times New Roman"/>
          <w:color w:val="000000"/>
          <w:sz w:val="30"/>
          <w:szCs w:val="30"/>
        </w:rPr>
        <w:t>12</w:t>
      </w:r>
      <w:r>
        <w:rPr>
          <w:rFonts w:hint="eastAsia" w:ascii="仿宋" w:hAnsi="仿宋" w:eastAsia="仿宋" w:cs="Times New Roman"/>
          <w:color w:val="000000"/>
          <w:sz w:val="30"/>
          <w:szCs w:val="30"/>
        </w:rPr>
        <w:t>月</w:t>
      </w:r>
      <w:r>
        <w:rPr>
          <w:rFonts w:ascii="仿宋" w:hAnsi="仿宋" w:eastAsia="仿宋" w:cs="Times New Roman"/>
          <w:color w:val="000000"/>
          <w:sz w:val="30"/>
          <w:szCs w:val="30"/>
        </w:rPr>
        <w:t>6</w:t>
      </w:r>
      <w:r>
        <w:rPr>
          <w:rFonts w:hint="eastAsia" w:ascii="仿宋" w:hAnsi="仿宋" w:eastAsia="仿宋" w:cs="Times New Roman"/>
          <w:color w:val="000000"/>
          <w:sz w:val="30"/>
          <w:szCs w:val="30"/>
        </w:rPr>
        <w:t>日召开了《超高层建筑施工测量规范》行业标准启动会，启动会上向参会的专家和各参编单位介绍了超高层建筑现状、超高层建筑测量重难点、国内外相关标准情况等进行了介绍。与会专家对标准大纲草案、进度计划进行讨论，确定了编制大纲、编制计划，明确了分工。</w:t>
      </w:r>
    </w:p>
    <w:p w14:paraId="6D92AC2F">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2）起草阶段</w:t>
      </w:r>
    </w:p>
    <w:p w14:paraId="30D9E4B7">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主参编单位根据启动会确定的编制大纲、编制计划和编制分工，各章编制小组参考现行国家、行业标准，在总结超高层工程施工经验的基础上，形成规范初稿。并于2</w:t>
      </w:r>
      <w:r>
        <w:rPr>
          <w:rFonts w:ascii="仿宋" w:hAnsi="仿宋" w:eastAsia="仿宋" w:cs="Times New Roman"/>
          <w:color w:val="000000"/>
          <w:sz w:val="30"/>
          <w:szCs w:val="30"/>
        </w:rPr>
        <w:t>025</w:t>
      </w:r>
      <w:r>
        <w:rPr>
          <w:rFonts w:hint="eastAsia" w:ascii="仿宋" w:hAnsi="仿宋" w:eastAsia="仿宋" w:cs="Times New Roman"/>
          <w:color w:val="000000"/>
          <w:sz w:val="30"/>
          <w:szCs w:val="30"/>
        </w:rPr>
        <w:t>年3月2</w:t>
      </w:r>
      <w:r>
        <w:rPr>
          <w:rFonts w:ascii="仿宋" w:hAnsi="仿宋" w:eastAsia="仿宋" w:cs="Times New Roman"/>
          <w:color w:val="000000"/>
          <w:sz w:val="30"/>
          <w:szCs w:val="30"/>
        </w:rPr>
        <w:t>1</w:t>
      </w:r>
      <w:r>
        <w:rPr>
          <w:rFonts w:hint="eastAsia" w:ascii="仿宋" w:hAnsi="仿宋" w:eastAsia="仿宋" w:cs="Times New Roman"/>
          <w:color w:val="000000"/>
          <w:sz w:val="30"/>
          <w:szCs w:val="30"/>
        </w:rPr>
        <w:t>日、2</w:t>
      </w:r>
      <w:r>
        <w:rPr>
          <w:rFonts w:ascii="仿宋" w:hAnsi="仿宋" w:eastAsia="仿宋" w:cs="Times New Roman"/>
          <w:color w:val="000000"/>
          <w:sz w:val="30"/>
          <w:szCs w:val="30"/>
        </w:rPr>
        <w:t>025</w:t>
      </w:r>
      <w:r>
        <w:rPr>
          <w:rFonts w:hint="eastAsia" w:ascii="仿宋" w:hAnsi="仿宋" w:eastAsia="仿宋" w:cs="Times New Roman"/>
          <w:color w:val="000000"/>
          <w:sz w:val="30"/>
          <w:szCs w:val="30"/>
        </w:rPr>
        <w:t>年</w:t>
      </w:r>
      <w:r>
        <w:rPr>
          <w:rFonts w:ascii="仿宋" w:hAnsi="仿宋" w:eastAsia="仿宋" w:cs="Times New Roman"/>
          <w:color w:val="000000"/>
          <w:sz w:val="30"/>
          <w:szCs w:val="30"/>
        </w:rPr>
        <w:t>5</w:t>
      </w:r>
      <w:r>
        <w:rPr>
          <w:rFonts w:hint="eastAsia" w:ascii="仿宋" w:hAnsi="仿宋" w:eastAsia="仿宋" w:cs="Times New Roman"/>
          <w:color w:val="000000"/>
          <w:sz w:val="30"/>
          <w:szCs w:val="30"/>
        </w:rPr>
        <w:t>月1</w:t>
      </w:r>
      <w:r>
        <w:rPr>
          <w:rFonts w:ascii="仿宋" w:hAnsi="仿宋" w:eastAsia="仿宋" w:cs="Times New Roman"/>
          <w:color w:val="000000"/>
          <w:sz w:val="30"/>
          <w:szCs w:val="30"/>
        </w:rPr>
        <w:t>6</w:t>
      </w:r>
      <w:r>
        <w:rPr>
          <w:rFonts w:hint="eastAsia" w:ascii="仿宋" w:hAnsi="仿宋" w:eastAsia="仿宋" w:cs="Times New Roman"/>
          <w:color w:val="000000"/>
          <w:sz w:val="30"/>
          <w:szCs w:val="30"/>
        </w:rPr>
        <w:t>日、2</w:t>
      </w:r>
      <w:r>
        <w:rPr>
          <w:rFonts w:ascii="仿宋" w:hAnsi="仿宋" w:eastAsia="仿宋" w:cs="Times New Roman"/>
          <w:color w:val="000000"/>
          <w:sz w:val="30"/>
          <w:szCs w:val="30"/>
        </w:rPr>
        <w:t>025</w:t>
      </w:r>
      <w:r>
        <w:rPr>
          <w:rFonts w:hint="eastAsia" w:ascii="仿宋" w:hAnsi="仿宋" w:eastAsia="仿宋" w:cs="Times New Roman"/>
          <w:color w:val="000000"/>
          <w:sz w:val="30"/>
          <w:szCs w:val="30"/>
        </w:rPr>
        <w:t>年6月2</w:t>
      </w:r>
      <w:r>
        <w:rPr>
          <w:rFonts w:ascii="仿宋" w:hAnsi="仿宋" w:eastAsia="仿宋" w:cs="Times New Roman"/>
          <w:color w:val="000000"/>
          <w:sz w:val="30"/>
          <w:szCs w:val="30"/>
        </w:rPr>
        <w:t>0</w:t>
      </w:r>
      <w:r>
        <w:rPr>
          <w:rFonts w:hint="eastAsia" w:ascii="仿宋" w:hAnsi="仿宋" w:eastAsia="仿宋" w:cs="Times New Roman"/>
          <w:color w:val="000000"/>
          <w:sz w:val="30"/>
          <w:szCs w:val="30"/>
        </w:rPr>
        <w:t>日召开了三次编委工作会，对初稿、第二稿、第三稿进行讨论修改，2</w:t>
      </w:r>
      <w:r>
        <w:rPr>
          <w:rFonts w:ascii="仿宋" w:hAnsi="仿宋" w:eastAsia="仿宋" w:cs="Times New Roman"/>
          <w:color w:val="000000"/>
          <w:sz w:val="30"/>
          <w:szCs w:val="30"/>
        </w:rPr>
        <w:t>025</w:t>
      </w:r>
      <w:r>
        <w:rPr>
          <w:rFonts w:hint="eastAsia" w:ascii="仿宋" w:hAnsi="仿宋" w:eastAsia="仿宋" w:cs="Times New Roman"/>
          <w:color w:val="000000"/>
          <w:sz w:val="30"/>
          <w:szCs w:val="30"/>
        </w:rPr>
        <w:t>年7月形成了征求意见稿。</w:t>
      </w:r>
    </w:p>
    <w:p w14:paraId="70F29699">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标准编制原则和确定标准主要内容（如技术指标、参数、公式、性能要求、试验方法、检验规则等）的论据；修订标准时，应增列新旧标准水平的对比。</w:t>
      </w:r>
    </w:p>
    <w:p w14:paraId="1651094D">
      <w:pPr>
        <w:pStyle w:val="18"/>
        <w:numPr>
          <w:ilvl w:val="0"/>
          <w:numId w:val="5"/>
        </w:numPr>
        <w:ind w:firstLineChars="0"/>
        <w:rPr>
          <w:rFonts w:ascii="Times New Roman" w:hAnsi="Times New Roman" w:eastAsia="仿宋" w:cs="Times New Roman"/>
          <w:b/>
          <w:sz w:val="30"/>
          <w:szCs w:val="30"/>
        </w:rPr>
      </w:pPr>
      <w:r>
        <w:rPr>
          <w:rFonts w:ascii="Times New Roman" w:hAnsi="Times New Roman" w:eastAsia="仿宋" w:cs="Times New Roman"/>
          <w:b/>
          <w:sz w:val="30"/>
          <w:szCs w:val="30"/>
        </w:rPr>
        <w:t>编制原则</w:t>
      </w:r>
    </w:p>
    <w:p w14:paraId="0249B2F3">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本标准的制定过程中，认真遵循了科学性、协调性和实用性等原则，并重点把握以下方面：</w:t>
      </w:r>
    </w:p>
    <w:p w14:paraId="63A7EC19">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（1）本标准根据 GB/T 1.1—2020《标准化工作导则 第 1 部分：标准化文件的结构和起草规则》的规定起草。</w:t>
      </w:r>
    </w:p>
    <w:p w14:paraId="43E286B0">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2）参考了现行国家标准和行业规范，确保技术指标有据可依。纳入卫星定位静态测量、三维激光扫描、自动化健康监测等新技术，结合超高层建筑施工全流程需求，覆盖基坑监测、主体结构测量、机电安装、结构变形及健康监测等关键环节。明确了施工测量方案应包含技术依据、设备清单、成果验收标准等内容，适应超高层建筑测量发展趋势。</w:t>
      </w:r>
    </w:p>
    <w:p w14:paraId="6B0FC0D5">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3）内容与相关国家标准、行业标准等协调一致。术语定义引用确保了跨标准术语一致性，测量方法与技术要求与其他规范无冲突。充分体现超高层建筑施工特点难点，注重可操作性，避免与其他标准内容上较大的重叠。</w:t>
      </w:r>
    </w:p>
    <w:p w14:paraId="7E0B027A">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4）明确了分级控制要求，按建筑高度（300m为界）划分平面/高程控制网等级，如：平面控制网等级划分（一级网/二级网）、导线边长比例（1:3）、测量设备精度（测角中误差≤2″，测距精度±2mm+2ppm）等参数均通过理论计算与工程实践验证。</w:t>
      </w:r>
    </w:p>
    <w:p w14:paraId="23F39199">
      <w:pPr>
        <w:pStyle w:val="18"/>
        <w:numPr>
          <w:ilvl w:val="0"/>
          <w:numId w:val="5"/>
        </w:numPr>
        <w:ind w:firstLineChars="0"/>
        <w:rPr>
          <w:rFonts w:ascii="Times New Roman" w:hAnsi="Times New Roman" w:eastAsia="仿宋" w:cs="Times New Roman"/>
          <w:b/>
          <w:sz w:val="30"/>
          <w:szCs w:val="30"/>
        </w:rPr>
      </w:pPr>
      <w:r>
        <w:rPr>
          <w:rFonts w:hint="eastAsia" w:ascii="Times New Roman" w:hAnsi="Times New Roman" w:eastAsia="仿宋" w:cs="Times New Roman"/>
          <w:b/>
          <w:sz w:val="30"/>
          <w:szCs w:val="30"/>
        </w:rPr>
        <w:t>确定标准主要内容的论据</w:t>
      </w:r>
    </w:p>
    <w:p w14:paraId="730A526E">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征求意见稿通过细化技术指标、强化监测与验收流程，显著提升了标准的可操作性和科学性，适应超高层建筑施工的复杂需求。</w:t>
      </w:r>
    </w:p>
    <w:p w14:paraId="67612233">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（1）核心指标与参数</w:t>
      </w:r>
    </w:p>
    <w:tbl>
      <w:tblPr>
        <w:tblStyle w:val="10"/>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0"/>
        <w:gridCol w:w="3260"/>
        <w:gridCol w:w="3299"/>
      </w:tblGrid>
      <w:tr w14:paraId="19F4F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0" w:type="dxa"/>
            <w:vAlign w:val="center"/>
          </w:tcPr>
          <w:p w14:paraId="5199C231">
            <w:pPr>
              <w:adjustRightInd w:val="0"/>
              <w:snapToGrid w:val="0"/>
              <w:jc w:val="center"/>
              <w:rPr>
                <w:rFonts w:ascii="仿宋" w:hAnsi="仿宋" w:eastAsia="仿宋" w:cs="Times New Roman"/>
                <w:b/>
                <w:color w:val="000000"/>
                <w:sz w:val="28"/>
                <w:szCs w:val="30"/>
              </w:rPr>
            </w:pPr>
            <w:r>
              <w:rPr>
                <w:rFonts w:hint="eastAsia" w:ascii="仿宋" w:hAnsi="仿宋" w:eastAsia="仿宋" w:cs="Times New Roman"/>
                <w:b/>
                <w:color w:val="000000"/>
                <w:sz w:val="28"/>
                <w:szCs w:val="30"/>
              </w:rPr>
              <w:t>内容</w:t>
            </w:r>
          </w:p>
        </w:tc>
        <w:tc>
          <w:tcPr>
            <w:tcW w:w="3260" w:type="dxa"/>
            <w:vAlign w:val="center"/>
          </w:tcPr>
          <w:p w14:paraId="32126ED1">
            <w:pPr>
              <w:adjustRightInd w:val="0"/>
              <w:snapToGrid w:val="0"/>
              <w:jc w:val="center"/>
              <w:rPr>
                <w:rFonts w:ascii="仿宋" w:hAnsi="仿宋" w:eastAsia="仿宋" w:cs="Times New Roman"/>
                <w:b/>
                <w:color w:val="000000"/>
                <w:sz w:val="28"/>
                <w:szCs w:val="30"/>
              </w:rPr>
            </w:pPr>
            <w:r>
              <w:rPr>
                <w:rFonts w:hint="eastAsia" w:ascii="仿宋" w:hAnsi="仿宋" w:eastAsia="仿宋" w:cs="Times New Roman"/>
                <w:b/>
                <w:color w:val="000000"/>
                <w:sz w:val="28"/>
                <w:szCs w:val="30"/>
              </w:rPr>
              <w:t>技术指标/公式</w:t>
            </w:r>
          </w:p>
        </w:tc>
        <w:tc>
          <w:tcPr>
            <w:tcW w:w="3299" w:type="dxa"/>
            <w:vAlign w:val="center"/>
          </w:tcPr>
          <w:p w14:paraId="322C18FC">
            <w:pPr>
              <w:adjustRightInd w:val="0"/>
              <w:snapToGrid w:val="0"/>
              <w:jc w:val="center"/>
              <w:rPr>
                <w:rFonts w:ascii="仿宋" w:hAnsi="仿宋" w:eastAsia="仿宋" w:cs="Times New Roman"/>
                <w:b/>
                <w:color w:val="000000"/>
                <w:sz w:val="28"/>
                <w:szCs w:val="30"/>
              </w:rPr>
            </w:pPr>
            <w:r>
              <w:rPr>
                <w:rFonts w:hint="eastAsia" w:ascii="仿宋" w:hAnsi="仿宋" w:eastAsia="仿宋" w:cs="Times New Roman"/>
                <w:b/>
                <w:color w:val="000000"/>
                <w:sz w:val="28"/>
                <w:szCs w:val="30"/>
              </w:rPr>
              <w:t>确定依据</w:t>
            </w:r>
          </w:p>
        </w:tc>
      </w:tr>
      <w:tr w14:paraId="565A7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0" w:type="dxa"/>
            <w:vAlign w:val="center"/>
          </w:tcPr>
          <w:p w14:paraId="351D975D">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平面控制测量</w:t>
            </w:r>
          </w:p>
        </w:tc>
        <w:tc>
          <w:tcPr>
            <w:tcW w:w="3260" w:type="dxa"/>
            <w:vAlign w:val="center"/>
          </w:tcPr>
          <w:p w14:paraId="7FEFD38F">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一级网测角中误差≤5″（表1）</w:t>
            </w:r>
          </w:p>
        </w:tc>
        <w:tc>
          <w:tcPr>
            <w:tcW w:w="3299" w:type="dxa"/>
            <w:vAlign w:val="center"/>
          </w:tcPr>
          <w:p w14:paraId="4F0FA35A">
            <w:pPr>
              <w:adjustRightInd w:val="0"/>
              <w:snapToGrid w:val="0"/>
              <w:jc w:val="left"/>
              <w:rPr>
                <w:rFonts w:ascii="仿宋" w:hAnsi="仿宋" w:eastAsia="仿宋" w:cs="Times New Roman"/>
                <w:color w:val="000000"/>
                <w:sz w:val="28"/>
                <w:szCs w:val="30"/>
              </w:rPr>
            </w:pPr>
            <w:r>
              <w:rPr>
                <w:rFonts w:hint="eastAsia" w:ascii="仿宋" w:hAnsi="仿宋" w:eastAsia="仿宋" w:cs="Times New Roman"/>
                <w:color w:val="000000"/>
                <w:sz w:val="28"/>
                <w:szCs w:val="30"/>
              </w:rPr>
              <w:t>基于超高层结构累积偏差控制需求，参考GB 50026并提高精度要求。</w:t>
            </w:r>
          </w:p>
        </w:tc>
      </w:tr>
      <w:tr w14:paraId="4176B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0" w:type="dxa"/>
            <w:vAlign w:val="center"/>
          </w:tcPr>
          <w:p w14:paraId="789B1506">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轴线竖向传递</w:t>
            </w:r>
          </w:p>
        </w:tc>
        <w:tc>
          <w:tcPr>
            <w:tcW w:w="3260" w:type="dxa"/>
            <w:vAlign w:val="center"/>
          </w:tcPr>
          <w:p w14:paraId="57743532">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总高偏差△≤H/12500（H&gt;300m，表6）</w:t>
            </w:r>
          </w:p>
        </w:tc>
        <w:tc>
          <w:tcPr>
            <w:tcW w:w="3299" w:type="dxa"/>
            <w:vAlign w:val="center"/>
          </w:tcPr>
          <w:p w14:paraId="78332E6A">
            <w:pPr>
              <w:adjustRightInd w:val="0"/>
              <w:snapToGrid w:val="0"/>
              <w:jc w:val="left"/>
              <w:rPr>
                <w:rFonts w:ascii="仿宋" w:hAnsi="仿宋" w:eastAsia="仿宋" w:cs="Times New Roman"/>
                <w:color w:val="000000"/>
                <w:sz w:val="28"/>
                <w:szCs w:val="30"/>
              </w:rPr>
            </w:pPr>
            <w:r>
              <w:rPr>
                <w:rFonts w:hint="eastAsia" w:ascii="仿宋" w:hAnsi="仿宋" w:eastAsia="仿宋" w:cs="Times New Roman"/>
                <w:color w:val="000000"/>
                <w:sz w:val="28"/>
                <w:szCs w:val="30"/>
              </w:rPr>
              <w:t>通过激光铅垂仪（1/200,000精度）实测验证，满足结构垂直度设计要求。</w:t>
            </w:r>
          </w:p>
        </w:tc>
      </w:tr>
      <w:tr w14:paraId="6C2E0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0" w:type="dxa"/>
            <w:vAlign w:val="center"/>
          </w:tcPr>
          <w:p w14:paraId="4A8581BB">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标高传递</w:t>
            </w:r>
          </w:p>
        </w:tc>
        <w:tc>
          <w:tcPr>
            <w:tcW w:w="3260" w:type="dxa"/>
            <w:vAlign w:val="center"/>
          </w:tcPr>
          <w:p w14:paraId="372E71A8">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钢尺法（≤50m）</w:t>
            </w:r>
          </w:p>
          <w:p w14:paraId="33592236">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电磁波法（&gt;50m，6.4.1）</w:t>
            </w:r>
          </w:p>
        </w:tc>
        <w:tc>
          <w:tcPr>
            <w:tcW w:w="3299" w:type="dxa"/>
            <w:vAlign w:val="center"/>
          </w:tcPr>
          <w:p w14:paraId="5669EEED">
            <w:pPr>
              <w:adjustRightInd w:val="0"/>
              <w:snapToGrid w:val="0"/>
              <w:jc w:val="left"/>
              <w:rPr>
                <w:rFonts w:ascii="仿宋" w:hAnsi="仿宋" w:eastAsia="仿宋" w:cs="Times New Roman"/>
                <w:color w:val="000000"/>
                <w:sz w:val="28"/>
                <w:szCs w:val="30"/>
              </w:rPr>
            </w:pPr>
            <w:r>
              <w:rPr>
                <w:rFonts w:hint="eastAsia" w:ascii="仿宋" w:hAnsi="仿宋" w:eastAsia="仿宋" w:cs="Times New Roman"/>
                <w:color w:val="000000"/>
                <w:sz w:val="28"/>
                <w:szCs w:val="30"/>
              </w:rPr>
              <w:t>钢尺温度变形试验表明，50m以上传递累积误差超限风险显著增加。</w:t>
            </w:r>
          </w:p>
        </w:tc>
      </w:tr>
      <w:tr w14:paraId="43DAA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0" w:type="dxa"/>
            <w:vAlign w:val="center"/>
          </w:tcPr>
          <w:p w14:paraId="141FD72B">
            <w:pPr>
              <w:adjustRightInd w:val="0"/>
              <w:snapToGrid w:val="0"/>
              <w:jc w:val="center"/>
              <w:rPr>
                <w:rFonts w:hint="eastAsia" w:ascii="仿宋" w:hAnsi="仿宋" w:eastAsia="仿宋" w:cs="Times New Roman"/>
                <w:color w:val="000000"/>
                <w:sz w:val="28"/>
                <w:szCs w:val="30"/>
              </w:rPr>
            </w:pPr>
            <w:r>
              <w:rPr>
                <w:rFonts w:hint="eastAsia" w:ascii="仿宋" w:hAnsi="仿宋" w:eastAsia="仿宋" w:cs="Times New Roman"/>
                <w:color w:val="000000"/>
                <w:sz w:val="28"/>
                <w:szCs w:val="30"/>
              </w:rPr>
              <w:t>深基坑监测频率</w:t>
            </w:r>
          </w:p>
        </w:tc>
        <w:tc>
          <w:tcPr>
            <w:tcW w:w="3260" w:type="dxa"/>
            <w:vAlign w:val="center"/>
          </w:tcPr>
          <w:p w14:paraId="51D1C9EA">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开挖深度&gt;2H/3时，1~2次/日（表14）</w:t>
            </w:r>
          </w:p>
        </w:tc>
        <w:tc>
          <w:tcPr>
            <w:tcW w:w="3299" w:type="dxa"/>
            <w:vAlign w:val="center"/>
          </w:tcPr>
          <w:p w14:paraId="6C8D4702">
            <w:pPr>
              <w:adjustRightInd w:val="0"/>
              <w:snapToGrid w:val="0"/>
              <w:jc w:val="left"/>
              <w:rPr>
                <w:rFonts w:ascii="仿宋" w:hAnsi="仿宋" w:eastAsia="仿宋" w:cs="Times New Roman"/>
                <w:color w:val="000000"/>
                <w:sz w:val="28"/>
                <w:szCs w:val="30"/>
              </w:rPr>
            </w:pPr>
            <w:r>
              <w:rPr>
                <w:rFonts w:hint="eastAsia" w:ascii="仿宋" w:hAnsi="仿宋" w:eastAsia="仿宋" w:cs="Times New Roman"/>
                <w:color w:val="000000"/>
                <w:sz w:val="28"/>
                <w:szCs w:val="30"/>
              </w:rPr>
              <w:t>结合GB 50497和实际工程险情案例，确保变形速率突变时及时预警。</w:t>
            </w:r>
          </w:p>
        </w:tc>
      </w:tr>
      <w:tr w14:paraId="61138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0" w:type="dxa"/>
            <w:vAlign w:val="center"/>
          </w:tcPr>
          <w:p w14:paraId="5E3672A7">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压缩变形测量</w:t>
            </w:r>
          </w:p>
        </w:tc>
        <w:tc>
          <w:tcPr>
            <w:tcW w:w="3260" w:type="dxa"/>
            <w:vAlign w:val="center"/>
          </w:tcPr>
          <w:p w14:paraId="65A7CC17">
            <w:pPr>
              <w:adjustRightInd w:val="0"/>
              <w:snapToGrid w:val="0"/>
              <w:jc w:val="center"/>
              <w:rPr>
                <w:rFonts w:ascii="仿宋" w:hAnsi="仿宋" w:eastAsia="仿宋" w:cs="Times New Roman"/>
                <w:color w:val="000000"/>
                <w:sz w:val="28"/>
                <w:szCs w:val="30"/>
              </w:rPr>
            </w:pPr>
            <w:r>
              <w:rPr>
                <w:rFonts w:hint="eastAsia" w:ascii="仿宋" w:hAnsi="仿宋" w:eastAsia="仿宋" w:cs="Times New Roman"/>
                <w:color w:val="000000"/>
                <w:sz w:val="28"/>
                <w:szCs w:val="30"/>
              </w:rPr>
              <w:t>每30~50m设监测点（8.6.2）</w:t>
            </w:r>
          </w:p>
        </w:tc>
        <w:tc>
          <w:tcPr>
            <w:tcW w:w="3299" w:type="dxa"/>
            <w:vAlign w:val="center"/>
          </w:tcPr>
          <w:p w14:paraId="159C1495">
            <w:pPr>
              <w:adjustRightInd w:val="0"/>
              <w:snapToGrid w:val="0"/>
              <w:jc w:val="left"/>
              <w:rPr>
                <w:rFonts w:ascii="仿宋" w:hAnsi="仿宋" w:eastAsia="仿宋" w:cs="Times New Roman"/>
                <w:color w:val="000000"/>
                <w:sz w:val="28"/>
                <w:szCs w:val="30"/>
              </w:rPr>
            </w:pPr>
            <w:r>
              <w:rPr>
                <w:rFonts w:hint="eastAsia" w:ascii="仿宋" w:hAnsi="仿宋" w:eastAsia="仿宋" w:cs="Times New Roman"/>
                <w:color w:val="000000"/>
                <w:sz w:val="28"/>
                <w:szCs w:val="30"/>
              </w:rPr>
              <w:t>依据中国尊、深圳平安金融中心等项目数据，该间距可有效捕获混凝土徐变规律。</w:t>
            </w:r>
          </w:p>
        </w:tc>
      </w:tr>
    </w:tbl>
    <w:p w14:paraId="7734CF80">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（2）核心性能要求</w:t>
      </w:r>
    </w:p>
    <w:p w14:paraId="44C9A8E0">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归心测量（8.5）：建筑&gt;300m时强制采用卫星定位技术，消除内控法接力累积误差。</w:t>
      </w:r>
    </w:p>
    <w:p w14:paraId="06EB7560">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结构健康监测（10.3）：要求应变传感器采样频率≥结构基频5倍（10.3.5c），确保捕获风振响应。</w:t>
      </w:r>
    </w:p>
    <w:p w14:paraId="1166DE4F">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竣工测量（11.2）：异形建筑强制使用三维激光扫描，点云密度≥5cm（依据CH/Z 3017）。</w:t>
      </w:r>
    </w:p>
    <w:p w14:paraId="0B3DE346">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（3）试验方法与检验规则</w:t>
      </w:r>
    </w:p>
    <w:p w14:paraId="0F7BD010">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控制点复测：平面点每季度复测1次，位移超限（△&gt;20mm）立即重建（5.1.6）。</w:t>
      </w:r>
    </w:p>
    <w:p w14:paraId="21F1B99A">
      <w:pPr>
        <w:adjustRightInd w:val="0"/>
        <w:snapToGrid w:val="0"/>
        <w:spacing w:line="300"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数据验收：执行两级检查一级验收（GB/T 24356），原始记录须双人校核（4.3.1）。</w:t>
      </w:r>
    </w:p>
    <w:p w14:paraId="247FDA2C">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仪器检定：全站仪测角精度≤1″，水准仪i角≤10″（5.1.5），依据JJG 100规范。</w:t>
      </w:r>
    </w:p>
    <w:p w14:paraId="5BFBDB92">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w:t>
      </w:r>
      <w:r>
        <w:rPr>
          <w:rFonts w:ascii="仿宋" w:hAnsi="仿宋" w:eastAsia="仿宋" w:cs="Times New Roman"/>
          <w:color w:val="000000"/>
          <w:sz w:val="30"/>
          <w:szCs w:val="30"/>
        </w:rPr>
        <w:t>4</w:t>
      </w:r>
      <w:r>
        <w:rPr>
          <w:rFonts w:hint="eastAsia" w:ascii="仿宋" w:hAnsi="仿宋" w:eastAsia="仿宋" w:cs="Times New Roman"/>
          <w:color w:val="000000"/>
          <w:sz w:val="30"/>
          <w:szCs w:val="30"/>
        </w:rPr>
        <w:t>）其他说明</w:t>
      </w:r>
    </w:p>
    <w:p w14:paraId="1BFD7C47">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新增"归心测量"（8.5）、"压缩变形修正"（8.6）条款，针对300m以上建筑提出卫星定位+水准联合控制方法，解决超高层建筑施工中出现的累积偏差问题。</w:t>
      </w:r>
    </w:p>
    <w:p w14:paraId="6D74F300">
      <w:pPr>
        <w:adjustRightInd w:val="0"/>
        <w:snapToGrid w:val="0"/>
        <w:spacing w:line="300"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将"基坑监测"独立成章（第7章），细化预警值双控指标（累计量+变化速率，表15-16），呼应基坑事故教训。</w:t>
      </w:r>
    </w:p>
    <w:p w14:paraId="18999D38">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补充机电安装（表20-21）、幕墙（表17）等分项允许偏差，填补装饰工程测量标准空白。</w:t>
      </w:r>
    </w:p>
    <w:p w14:paraId="1CC5D2DF">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主要试验</w:t>
      </w:r>
      <w:r>
        <w:rPr>
          <w:rFonts w:ascii="黑体" w:hAnsi="黑体" w:eastAsia="黑体" w:cs="Times New Roman"/>
          <w:b w:val="0"/>
        </w:rPr>
        <w:t>(</w:t>
      </w:r>
      <w:r>
        <w:rPr>
          <w:rFonts w:hint="eastAsia" w:ascii="黑体" w:hAnsi="黑体" w:eastAsia="黑体" w:cs="Times New Roman"/>
          <w:b w:val="0"/>
        </w:rPr>
        <w:t>或验证</w:t>
      </w:r>
      <w:r>
        <w:rPr>
          <w:rFonts w:ascii="黑体" w:hAnsi="黑体" w:eastAsia="黑体" w:cs="Times New Roman"/>
          <w:b w:val="0"/>
        </w:rPr>
        <w:t>)</w:t>
      </w:r>
      <w:r>
        <w:rPr>
          <w:rFonts w:hint="eastAsia" w:ascii="黑体" w:hAnsi="黑体" w:eastAsia="黑体" w:cs="Times New Roman"/>
          <w:b w:val="0"/>
        </w:rPr>
        <w:t>的分析、综述报告，技术经济论证，预期的经济效果</w:t>
      </w:r>
    </w:p>
    <w:p w14:paraId="53DA0864">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（1）标准的内容结构</w:t>
      </w:r>
    </w:p>
    <w:p w14:paraId="10BF1D33">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本规范适用于高度超过一定标准（高度1</w:t>
      </w:r>
      <w:r>
        <w:rPr>
          <w:rFonts w:ascii="仿宋" w:hAnsi="仿宋" w:eastAsia="仿宋" w:cs="Times New Roman"/>
          <w:color w:val="000000"/>
          <w:sz w:val="30"/>
          <w:szCs w:val="30"/>
        </w:rPr>
        <w:t>00</w:t>
      </w:r>
      <w:r>
        <w:rPr>
          <w:rFonts w:hint="eastAsia" w:ascii="仿宋" w:hAnsi="仿宋" w:eastAsia="仿宋" w:cs="Times New Roman"/>
          <w:color w:val="000000"/>
          <w:sz w:val="30"/>
          <w:szCs w:val="30"/>
        </w:rPr>
        <w:t>米）的超高层建筑，涵盖了从施工准备到竣工验收各个阶段的测量工作，分为11章、3</w:t>
      </w:r>
      <w:r>
        <w:rPr>
          <w:rFonts w:ascii="仿宋" w:hAnsi="仿宋" w:eastAsia="仿宋" w:cs="Times New Roman"/>
          <w:color w:val="000000"/>
          <w:sz w:val="30"/>
          <w:szCs w:val="30"/>
        </w:rPr>
        <w:t>3</w:t>
      </w:r>
      <w:r>
        <w:rPr>
          <w:rFonts w:hint="eastAsia" w:ascii="仿宋" w:hAnsi="仿宋" w:eastAsia="仿宋" w:cs="Times New Roman"/>
          <w:color w:val="000000"/>
          <w:sz w:val="30"/>
          <w:szCs w:val="30"/>
        </w:rPr>
        <w:t>节内容：</w:t>
      </w:r>
    </w:p>
    <w:p w14:paraId="1C22A89D">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1 范围</w:t>
      </w:r>
      <w:r>
        <w:rPr>
          <w:rFonts w:hint="eastAsia" w:ascii="仿宋" w:hAnsi="仿宋" w:eastAsia="仿宋" w:cs="Times New Roman"/>
          <w:color w:val="000000"/>
          <w:sz w:val="30"/>
          <w:szCs w:val="30"/>
        </w:rPr>
        <w:tab/>
      </w:r>
    </w:p>
    <w:p w14:paraId="1A218196">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2 规范性引用文件</w:t>
      </w:r>
    </w:p>
    <w:p w14:paraId="0048DB2E">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3 术语和定义</w:t>
      </w:r>
    </w:p>
    <w:p w14:paraId="464861F9">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4 基本规定</w:t>
      </w:r>
    </w:p>
    <w:p w14:paraId="77FAB592">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5 平面控制测量</w:t>
      </w:r>
      <w:r>
        <w:rPr>
          <w:rFonts w:hint="eastAsia" w:ascii="仿宋" w:hAnsi="仿宋" w:eastAsia="仿宋" w:cs="Times New Roman"/>
          <w:color w:val="000000"/>
          <w:sz w:val="30"/>
          <w:szCs w:val="30"/>
        </w:rPr>
        <w:tab/>
      </w:r>
    </w:p>
    <w:p w14:paraId="4C882C7D">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6 高程控制测量</w:t>
      </w:r>
      <w:r>
        <w:rPr>
          <w:rFonts w:hint="eastAsia" w:ascii="仿宋" w:hAnsi="仿宋" w:eastAsia="仿宋" w:cs="Times New Roman"/>
          <w:color w:val="000000"/>
          <w:sz w:val="30"/>
          <w:szCs w:val="30"/>
        </w:rPr>
        <w:tab/>
      </w:r>
    </w:p>
    <w:p w14:paraId="4DBCF701">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7 深基坑监测</w:t>
      </w:r>
    </w:p>
    <w:p w14:paraId="6B0C82AB">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8 主体结构测量</w:t>
      </w:r>
    </w:p>
    <w:p w14:paraId="5ED042C7">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9 机电安装和装饰测量</w:t>
      </w:r>
      <w:r>
        <w:rPr>
          <w:rFonts w:hint="eastAsia" w:ascii="仿宋" w:hAnsi="仿宋" w:eastAsia="仿宋" w:cs="Times New Roman"/>
          <w:color w:val="000000"/>
          <w:sz w:val="30"/>
          <w:szCs w:val="30"/>
        </w:rPr>
        <w:tab/>
      </w:r>
    </w:p>
    <w:p w14:paraId="3DB02915">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10 结构变形及健康测量</w:t>
      </w:r>
      <w:r>
        <w:rPr>
          <w:rFonts w:hint="eastAsia" w:ascii="仿宋" w:hAnsi="仿宋" w:eastAsia="仿宋" w:cs="Times New Roman"/>
          <w:color w:val="000000"/>
          <w:sz w:val="30"/>
          <w:szCs w:val="30"/>
        </w:rPr>
        <w:tab/>
      </w:r>
    </w:p>
    <w:p w14:paraId="448CD658">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11 竣工测量</w:t>
      </w:r>
      <w:r>
        <w:rPr>
          <w:rFonts w:hint="eastAsia" w:ascii="仿宋" w:hAnsi="仿宋" w:eastAsia="仿宋" w:cs="Times New Roman"/>
          <w:color w:val="000000"/>
          <w:sz w:val="30"/>
          <w:szCs w:val="30"/>
        </w:rPr>
        <w:tab/>
      </w:r>
    </w:p>
    <w:p w14:paraId="5890A20A">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参考文献</w:t>
      </w:r>
    </w:p>
    <w:p w14:paraId="19F560B6">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w:t>
      </w:r>
      <w:r>
        <w:rPr>
          <w:rFonts w:ascii="仿宋" w:hAnsi="仿宋" w:eastAsia="仿宋" w:cs="Times New Roman"/>
          <w:color w:val="000000"/>
          <w:sz w:val="30"/>
          <w:szCs w:val="30"/>
        </w:rPr>
        <w:t>2</w:t>
      </w:r>
      <w:r>
        <w:rPr>
          <w:rFonts w:hint="eastAsia" w:ascii="仿宋" w:hAnsi="仿宋" w:eastAsia="仿宋" w:cs="Times New Roman"/>
          <w:color w:val="000000"/>
          <w:sz w:val="30"/>
          <w:szCs w:val="30"/>
        </w:rPr>
        <w:t>）主要验证分析</w:t>
      </w:r>
    </w:p>
    <w:p w14:paraId="68A20B11">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通过实际工程数据验证自动化监测的精度与稳定性，确保其能实时准确获取结构几何形变、应力应变等关键参数。自动化监测系统在试点工程中显示，结构监测数据与人工复核结果偏差低于2mm，满足规范要求。对激光铅垂仪、全站仪等设备在不同环境条件下的测量精度进行现场试验，如300m以上建筑需达到一级网技术标准。</w:t>
      </w:r>
    </w:p>
    <w:p w14:paraId="6ADE2965">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（3）综述报告</w:t>
      </w:r>
    </w:p>
    <w:p w14:paraId="7C71BC58">
      <w:pPr>
        <w:adjustRightInd w:val="0"/>
        <w:snapToGrid w:val="0"/>
        <w:spacing w:line="300" w:lineRule="auto"/>
        <w:ind w:firstLine="1200" w:firstLineChars="400"/>
        <w:rPr>
          <w:rFonts w:ascii="仿宋" w:hAnsi="仿宋" w:eastAsia="仿宋" w:cs="Times New Roman"/>
          <w:color w:val="000000"/>
          <w:sz w:val="30"/>
          <w:szCs w:val="30"/>
        </w:rPr>
      </w:pPr>
      <w:r>
        <w:rPr>
          <w:rFonts w:hint="eastAsia" w:ascii="仿宋" w:hAnsi="仿宋" w:eastAsia="仿宋" w:cs="Times New Roman"/>
          <w:color w:val="000000"/>
          <w:sz w:val="30"/>
          <w:szCs w:val="30"/>
        </w:rPr>
        <w:t>1）技术发展现状。从传统光学仪器（经纬仪、水准仪）向高精度电子设备（全站仪、GNSS接收机）升级，300m以上建筑强制使用一级网技术。由人工定期巡检转向自动化实时监测，结合BIM技术实现测量数据与模型动态关联。结构健康监测从单一形变监测扩展至应力、温度、振动等多参数综合分析。</w:t>
      </w:r>
    </w:p>
    <w:p w14:paraId="3B03A7CF">
      <w:pPr>
        <w:adjustRightInd w:val="0"/>
        <w:snapToGrid w:val="0"/>
        <w:spacing w:line="300" w:lineRule="auto"/>
        <w:ind w:firstLine="1200" w:firstLineChars="4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2）市场与政策环境。2025年中国超高层建筑（200m以上）数量突破1500座，年均增长8%。业主方对测量精度要求从厘米级提升至毫米级，自动化监测渗透率达65%。</w:t>
      </w:r>
    </w:p>
    <w:p w14:paraId="785603B3">
      <w:pPr>
        <w:adjustRightInd w:val="0"/>
        <w:snapToGrid w:val="0"/>
        <w:spacing w:line="300"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w:t>
      </w:r>
      <w:r>
        <w:rPr>
          <w:rFonts w:ascii="仿宋" w:hAnsi="仿宋" w:eastAsia="仿宋" w:cs="Times New Roman"/>
          <w:color w:val="000000"/>
          <w:sz w:val="30"/>
          <w:szCs w:val="30"/>
        </w:rPr>
        <w:t>4</w:t>
      </w:r>
      <w:r>
        <w:rPr>
          <w:rFonts w:hint="eastAsia" w:ascii="仿宋" w:hAnsi="仿宋" w:eastAsia="仿宋" w:cs="Times New Roman"/>
          <w:color w:val="000000"/>
          <w:sz w:val="30"/>
          <w:szCs w:val="30"/>
        </w:rPr>
        <w:t>）预期效果</w:t>
      </w:r>
    </w:p>
    <w:p w14:paraId="17C64612">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通过对超高层建筑工程施工测量工作的各个环节的梳理，使超高层建筑施工标准体系更加完善。本标准与现行法律、法规和国家和行业标准没有冲突。《超高层建筑施工测量规范》依据相关法律法规和国家标准编制，如：《中华人民共和国测绘法》、《工程测量标准》、《建筑工程施工质量验收统一标准》。本规范立统一超高层建筑测量工作的技术方法、流程和标准，对确保施工安全、提高施工质量、增强施工效率并促进施工管理有着重要指导意义。</w:t>
      </w:r>
    </w:p>
    <w:p w14:paraId="76E2D1CB">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采用国际标准和国外先进标准的程度，以及与国际、国外同类标准水平的对比情况，或与测试的国外样品、样机的有关数据对比情况</w:t>
      </w:r>
    </w:p>
    <w:p w14:paraId="2A9B4495">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本标准主要参考以下标准进行编制：</w:t>
      </w:r>
    </w:p>
    <w:p w14:paraId="0E59EA15">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[1] GB/T 12897  国家一、二等水准测量规范</w:t>
      </w:r>
    </w:p>
    <w:p w14:paraId="2B30EC8A">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[2] GB/T 24356  测绘成果质量检查与验收</w:t>
      </w:r>
    </w:p>
    <w:p w14:paraId="4CD9AB31">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[3] GB/T 35641  工程测绘基本技术要求</w:t>
      </w:r>
    </w:p>
    <w:p w14:paraId="5576D484">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[4] GB 50204  混凝土结构工程施工质量验收规范</w:t>
      </w:r>
    </w:p>
    <w:p w14:paraId="18138EFD">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[5] GB 50210  建筑装饰装修工程质量验收标准</w:t>
      </w:r>
    </w:p>
    <w:p w14:paraId="6B8DC165">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[6] GB 50231  机械设备安装工程施工及验收通用规范</w:t>
      </w:r>
    </w:p>
    <w:p w14:paraId="149A68C1">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[7] GB 50310  电梯工程施工质量验收规范</w:t>
      </w:r>
    </w:p>
    <w:p w14:paraId="7F12D636">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[8] GB 55018  工程测量通用规范</w:t>
      </w:r>
    </w:p>
    <w:p w14:paraId="76FF99BD">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[9] JGJ 3  高层建筑混凝土结构技术规程</w:t>
      </w:r>
    </w:p>
    <w:p w14:paraId="7CD2637E">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[10] JGJ 102  玻璃幕墙工程技术规范</w:t>
      </w:r>
    </w:p>
    <w:p w14:paraId="6E769D50">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[11] JGJ/T 195  液压爬升模板工程技术标准</w:t>
      </w:r>
    </w:p>
    <w:p w14:paraId="6585D8D7">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[12] JGJ/T 408  建筑施工测量标准</w:t>
      </w:r>
    </w:p>
    <w:p w14:paraId="1C178ABA">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与有关的现行法律、法规和强制性标准的关系</w:t>
      </w:r>
      <w:r>
        <w:rPr>
          <w:rFonts w:ascii="黑体" w:hAnsi="黑体" w:eastAsia="黑体" w:cs="Times New Roman"/>
          <w:b w:val="0"/>
        </w:rPr>
        <w:t xml:space="preserve"> </w:t>
      </w:r>
    </w:p>
    <w:p w14:paraId="71A5EF0F">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本标准与现行法律、法规和国家和行业标准没有冲突</w:t>
      </w:r>
    </w:p>
    <w:p w14:paraId="7178D8C3">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重大分歧意见的处理经过和依据</w:t>
      </w:r>
    </w:p>
    <w:p w14:paraId="762048D9">
      <w:pPr>
        <w:adjustRightInd w:val="0"/>
        <w:snapToGrid w:val="0"/>
        <w:spacing w:line="276"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无</w:t>
      </w:r>
    </w:p>
    <w:p w14:paraId="5E73A325">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标准作为强制性标准或推荐性标准的建议</w:t>
      </w:r>
    </w:p>
    <w:p w14:paraId="333336E5">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本标准统一超高层建筑工程施工测量的技术要求，为建筑工程建设提供测绘成果和服务，保证建筑工程施工各阶段的质量要求。标准符合当前技术发展，将会对超高层建筑工程施工测量起到积极的推进和完善作用。</w:t>
      </w:r>
    </w:p>
    <w:p w14:paraId="38A6CD1B">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建议作为推荐性标准实施。</w:t>
      </w:r>
    </w:p>
    <w:p w14:paraId="453DDAF1">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贯彻标准的要求和措施建议</w:t>
      </w:r>
      <w:r>
        <w:rPr>
          <w:rFonts w:ascii="黑体" w:hAnsi="黑体" w:eastAsia="黑体" w:cs="Times New Roman"/>
          <w:b w:val="0"/>
        </w:rPr>
        <w:t>(</w:t>
      </w:r>
      <w:r>
        <w:rPr>
          <w:rFonts w:hint="eastAsia" w:ascii="黑体" w:hAnsi="黑体" w:eastAsia="黑体" w:cs="Times New Roman"/>
          <w:b w:val="0"/>
        </w:rPr>
        <w:t>包括组织措施、技术措施、过渡办法等内容</w:t>
      </w:r>
      <w:r>
        <w:rPr>
          <w:rFonts w:ascii="黑体" w:hAnsi="黑体" w:eastAsia="黑体" w:cs="Times New Roman"/>
          <w:b w:val="0"/>
        </w:rPr>
        <w:t>)</w:t>
      </w:r>
    </w:p>
    <w:p w14:paraId="2BB7ABD3">
      <w:pPr>
        <w:adjustRightInd w:val="0"/>
        <w:snapToGrid w:val="0"/>
        <w:spacing w:line="300"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无</w:t>
      </w:r>
    </w:p>
    <w:p w14:paraId="0735C147">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废止现行有关标准的建议</w:t>
      </w:r>
    </w:p>
    <w:p w14:paraId="0C0C4261">
      <w:pPr>
        <w:pStyle w:val="30"/>
        <w:spacing w:before="156" w:beforeLines="50" w:after="156" w:afterLines="50"/>
        <w:ind w:firstLine="600" w:firstLineChars="200"/>
        <w:rPr>
          <w:rFonts w:ascii="仿宋" w:hAnsi="仿宋" w:eastAsia="仿宋" w:cs="Times New Roman"/>
          <w:sz w:val="30"/>
          <w:szCs w:val="30"/>
        </w:rPr>
      </w:pPr>
      <w:r>
        <w:rPr>
          <w:rFonts w:hint="eastAsia" w:ascii="仿宋" w:hAnsi="仿宋" w:eastAsia="仿宋" w:cs="Times New Roman"/>
          <w:sz w:val="30"/>
          <w:szCs w:val="30"/>
        </w:rPr>
        <w:t>无</w:t>
      </w:r>
    </w:p>
    <w:p w14:paraId="7F46E277">
      <w:pPr>
        <w:pStyle w:val="3"/>
        <w:keepNext w:val="0"/>
        <w:keepLines w:val="0"/>
        <w:numPr>
          <w:ilvl w:val="0"/>
          <w:numId w:val="2"/>
        </w:numPr>
        <w:spacing w:before="0" w:after="0" w:line="240" w:lineRule="auto"/>
        <w:ind w:left="0" w:firstLine="0"/>
        <w:rPr>
          <w:rFonts w:ascii="黑体" w:hAnsi="黑体" w:eastAsia="黑体" w:cs="Times New Roman"/>
          <w:b w:val="0"/>
        </w:rPr>
      </w:pPr>
      <w:r>
        <w:rPr>
          <w:rFonts w:hint="eastAsia" w:ascii="黑体" w:hAnsi="黑体" w:eastAsia="黑体" w:cs="Times New Roman"/>
          <w:b w:val="0"/>
        </w:rPr>
        <w:t>其他应予说明的事项</w:t>
      </w:r>
    </w:p>
    <w:p w14:paraId="1A6E7088">
      <w:pPr>
        <w:pStyle w:val="30"/>
        <w:spacing w:before="156" w:beforeLines="50" w:after="156" w:afterLines="50"/>
        <w:ind w:firstLine="600" w:firstLineChars="200"/>
        <w:rPr>
          <w:rFonts w:ascii="仿宋" w:hAnsi="仿宋" w:eastAsia="仿宋" w:cs="Times New Roman"/>
          <w:sz w:val="30"/>
          <w:szCs w:val="30"/>
        </w:rPr>
      </w:pPr>
      <w:r>
        <w:rPr>
          <w:rFonts w:hint="eastAsia" w:ascii="仿宋" w:hAnsi="仿宋" w:eastAsia="仿宋" w:cs="Times New Roman"/>
          <w:sz w:val="30"/>
          <w:szCs w:val="30"/>
        </w:rPr>
        <w:t>无</w:t>
      </w:r>
    </w:p>
    <w:sectPr>
      <w:footerReference r:id="rId3" w:type="default"/>
      <w:pgSz w:w="11906" w:h="16838"/>
      <w:pgMar w:top="1134" w:right="1134" w:bottom="1134" w:left="1134"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0227037"/>
      <w:docPartObj>
        <w:docPartGallery w:val="autotext"/>
      </w:docPartObj>
    </w:sdtPr>
    <w:sdtContent>
      <w:p w14:paraId="1D96FF22">
        <w:pPr>
          <w:pStyle w:val="5"/>
          <w:jc w:val="center"/>
        </w:pPr>
        <w:r>
          <w:fldChar w:fldCharType="begin"/>
        </w:r>
        <w:r>
          <w:instrText xml:space="preserve">PAGE   \* MERGEFORMAT</w:instrText>
        </w:r>
        <w:r>
          <w:fldChar w:fldCharType="separate"/>
        </w:r>
        <w:r>
          <w:rPr>
            <w:lang w:val="zh-CN"/>
          </w:rPr>
          <w:t>9</w:t>
        </w:r>
        <w:r>
          <w:fldChar w:fldCharType="end"/>
        </w:r>
      </w:p>
    </w:sdtContent>
  </w:sdt>
  <w:p w14:paraId="3B0EAA4F">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802AC0"/>
    <w:multiLevelType w:val="multilevel"/>
    <w:tmpl w:val="0D802AC0"/>
    <w:lvl w:ilvl="0" w:tentative="0">
      <w:start w:val="1"/>
      <w:numFmt w:val="japaneseCounting"/>
      <w:lvlText w:val="%1、"/>
      <w:lvlJc w:val="left"/>
      <w:pPr>
        <w:ind w:left="660" w:hanging="660"/>
      </w:pPr>
      <w:rPr>
        <w:rFonts w:hint="default" w:ascii="黑体" w:hAnsi="黑体" w:eastAsia="黑体"/>
        <w:b w:val="0"/>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987"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1A6421"/>
    <w:multiLevelType w:val="multilevel"/>
    <w:tmpl w:val="101A6421"/>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6EB7BA2"/>
    <w:multiLevelType w:val="multilevel"/>
    <w:tmpl w:val="16EB7BA2"/>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FC91163"/>
    <w:multiLevelType w:val="multilevel"/>
    <w:tmpl w:val="1FC91163"/>
    <w:lvl w:ilvl="0" w:tentative="0">
      <w:start w:val="1"/>
      <w:numFmt w:val="decimal"/>
      <w:pStyle w:val="24"/>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25"/>
      <w:suff w:val="nothing"/>
      <w:lvlText w:val="%1.%2.%3　"/>
      <w:lvlJc w:val="left"/>
      <w:pPr>
        <w:ind w:left="568" w:firstLine="0"/>
      </w:pPr>
      <w:rPr>
        <w:rFonts w:hint="eastAsia" w:ascii="黑体" w:hAnsi="Times New Roman" w:eastAsia="黑体"/>
        <w:b w:val="0"/>
        <w:i w:val="0"/>
        <w:color w:val="000000"/>
        <w:sz w:val="21"/>
      </w:rPr>
    </w:lvl>
    <w:lvl w:ilvl="3" w:tentative="0">
      <w:start w:val="1"/>
      <w:numFmt w:val="decimal"/>
      <w:pStyle w:val="26"/>
      <w:suff w:val="nothing"/>
      <w:lvlText w:val="%1.%2.%3.%4　"/>
      <w:lvlJc w:val="left"/>
      <w:pPr>
        <w:ind w:left="0" w:firstLine="0"/>
      </w:pPr>
      <w:rPr>
        <w:rFonts w:hint="eastAsia" w:ascii="黑体" w:hAnsi="Times New Roman" w:eastAsia="黑体"/>
        <w:b w:val="0"/>
        <w:i w:val="0"/>
        <w:color w:val="auto"/>
        <w:sz w:val="21"/>
      </w:rPr>
    </w:lvl>
    <w:lvl w:ilvl="4" w:tentative="0">
      <w:start w:val="1"/>
      <w:numFmt w:val="decimal"/>
      <w:suff w:val="nothing"/>
      <w:lvlText w:val="%1.%2.%3.%4.%5　"/>
      <w:lvlJc w:val="left"/>
      <w:pPr>
        <w:ind w:left="993"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49980D96"/>
    <w:multiLevelType w:val="multilevel"/>
    <w:tmpl w:val="49980D96"/>
    <w:lvl w:ilvl="0" w:tentative="0">
      <w:start w:val="1"/>
      <w:numFmt w:val="decimal"/>
      <w:lvlText w:val="%1）"/>
      <w:lvlJc w:val="left"/>
      <w:pPr>
        <w:ind w:left="1322" w:hanging="720"/>
      </w:pPr>
      <w:rPr>
        <w:rFonts w:hint="default"/>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DBB"/>
    <w:rsid w:val="000005C5"/>
    <w:rsid w:val="000053E2"/>
    <w:rsid w:val="00006314"/>
    <w:rsid w:val="00010FD5"/>
    <w:rsid w:val="00012A1A"/>
    <w:rsid w:val="00022837"/>
    <w:rsid w:val="000237BF"/>
    <w:rsid w:val="000256B9"/>
    <w:rsid w:val="00036AD6"/>
    <w:rsid w:val="00042A1D"/>
    <w:rsid w:val="00055528"/>
    <w:rsid w:val="000666D6"/>
    <w:rsid w:val="00066D79"/>
    <w:rsid w:val="00080346"/>
    <w:rsid w:val="00091189"/>
    <w:rsid w:val="000A4A43"/>
    <w:rsid w:val="000B33E6"/>
    <w:rsid w:val="000B6118"/>
    <w:rsid w:val="000B672D"/>
    <w:rsid w:val="000C4E84"/>
    <w:rsid w:val="000D4CAE"/>
    <w:rsid w:val="000E43EB"/>
    <w:rsid w:val="000E48EC"/>
    <w:rsid w:val="000E76EA"/>
    <w:rsid w:val="000F2682"/>
    <w:rsid w:val="000F3186"/>
    <w:rsid w:val="000F7E30"/>
    <w:rsid w:val="0010036E"/>
    <w:rsid w:val="00111366"/>
    <w:rsid w:val="00125715"/>
    <w:rsid w:val="001266F1"/>
    <w:rsid w:val="00127E78"/>
    <w:rsid w:val="00127FA7"/>
    <w:rsid w:val="00134D13"/>
    <w:rsid w:val="001472A1"/>
    <w:rsid w:val="00147B08"/>
    <w:rsid w:val="00155272"/>
    <w:rsid w:val="0016368C"/>
    <w:rsid w:val="00173393"/>
    <w:rsid w:val="0017622A"/>
    <w:rsid w:val="00184859"/>
    <w:rsid w:val="001A3AF4"/>
    <w:rsid w:val="001A46DC"/>
    <w:rsid w:val="001A4D23"/>
    <w:rsid w:val="001B2E19"/>
    <w:rsid w:val="001B3DCF"/>
    <w:rsid w:val="001B7BDA"/>
    <w:rsid w:val="001C3334"/>
    <w:rsid w:val="001D5360"/>
    <w:rsid w:val="001E192B"/>
    <w:rsid w:val="0020422E"/>
    <w:rsid w:val="00207815"/>
    <w:rsid w:val="0021162E"/>
    <w:rsid w:val="00211785"/>
    <w:rsid w:val="00222DC5"/>
    <w:rsid w:val="00223AE8"/>
    <w:rsid w:val="00225811"/>
    <w:rsid w:val="00250E3B"/>
    <w:rsid w:val="00252FF6"/>
    <w:rsid w:val="00261931"/>
    <w:rsid w:val="002619A3"/>
    <w:rsid w:val="002630D7"/>
    <w:rsid w:val="0026391B"/>
    <w:rsid w:val="00270CCA"/>
    <w:rsid w:val="00282F07"/>
    <w:rsid w:val="00295B26"/>
    <w:rsid w:val="00296C2E"/>
    <w:rsid w:val="00297CF8"/>
    <w:rsid w:val="002A290C"/>
    <w:rsid w:val="002B42D0"/>
    <w:rsid w:val="002D2853"/>
    <w:rsid w:val="002D77F9"/>
    <w:rsid w:val="002E5193"/>
    <w:rsid w:val="002E77D1"/>
    <w:rsid w:val="002F6EB0"/>
    <w:rsid w:val="0030022C"/>
    <w:rsid w:val="00304819"/>
    <w:rsid w:val="00321313"/>
    <w:rsid w:val="003322D6"/>
    <w:rsid w:val="00332C9E"/>
    <w:rsid w:val="003344B5"/>
    <w:rsid w:val="003378F5"/>
    <w:rsid w:val="0034021F"/>
    <w:rsid w:val="003432CB"/>
    <w:rsid w:val="00345677"/>
    <w:rsid w:val="003549B4"/>
    <w:rsid w:val="00373DBB"/>
    <w:rsid w:val="00374207"/>
    <w:rsid w:val="00375997"/>
    <w:rsid w:val="003765B9"/>
    <w:rsid w:val="00385BC1"/>
    <w:rsid w:val="00390181"/>
    <w:rsid w:val="0039645A"/>
    <w:rsid w:val="003A64F0"/>
    <w:rsid w:val="003A7F0B"/>
    <w:rsid w:val="003B3363"/>
    <w:rsid w:val="003B46B7"/>
    <w:rsid w:val="003B5BD4"/>
    <w:rsid w:val="003C12A3"/>
    <w:rsid w:val="003C3C72"/>
    <w:rsid w:val="003D0865"/>
    <w:rsid w:val="003D28EC"/>
    <w:rsid w:val="003F34C0"/>
    <w:rsid w:val="003F7503"/>
    <w:rsid w:val="00405456"/>
    <w:rsid w:val="004113C1"/>
    <w:rsid w:val="00412A92"/>
    <w:rsid w:val="00415CB6"/>
    <w:rsid w:val="00426477"/>
    <w:rsid w:val="00431E9C"/>
    <w:rsid w:val="00432537"/>
    <w:rsid w:val="0043536F"/>
    <w:rsid w:val="00436B8C"/>
    <w:rsid w:val="004402D1"/>
    <w:rsid w:val="00441608"/>
    <w:rsid w:val="00441C59"/>
    <w:rsid w:val="00450553"/>
    <w:rsid w:val="00450928"/>
    <w:rsid w:val="00453B54"/>
    <w:rsid w:val="0045469D"/>
    <w:rsid w:val="00456DE1"/>
    <w:rsid w:val="00461763"/>
    <w:rsid w:val="00462B86"/>
    <w:rsid w:val="00465351"/>
    <w:rsid w:val="00474308"/>
    <w:rsid w:val="0047457F"/>
    <w:rsid w:val="00477D08"/>
    <w:rsid w:val="00481801"/>
    <w:rsid w:val="00481B48"/>
    <w:rsid w:val="004822D4"/>
    <w:rsid w:val="00484E71"/>
    <w:rsid w:val="00487DC7"/>
    <w:rsid w:val="00491AA0"/>
    <w:rsid w:val="00491E27"/>
    <w:rsid w:val="004B1975"/>
    <w:rsid w:val="004B1E75"/>
    <w:rsid w:val="004B26C0"/>
    <w:rsid w:val="004B3FFE"/>
    <w:rsid w:val="004B66B3"/>
    <w:rsid w:val="004B6CA6"/>
    <w:rsid w:val="004C5716"/>
    <w:rsid w:val="004D5C81"/>
    <w:rsid w:val="004F0C56"/>
    <w:rsid w:val="004F63F5"/>
    <w:rsid w:val="004F7951"/>
    <w:rsid w:val="0050186B"/>
    <w:rsid w:val="00501A13"/>
    <w:rsid w:val="005234F6"/>
    <w:rsid w:val="00523DA4"/>
    <w:rsid w:val="00523E3E"/>
    <w:rsid w:val="00525865"/>
    <w:rsid w:val="005428A8"/>
    <w:rsid w:val="005520A0"/>
    <w:rsid w:val="00556B7F"/>
    <w:rsid w:val="005615CB"/>
    <w:rsid w:val="0056469D"/>
    <w:rsid w:val="005659FF"/>
    <w:rsid w:val="005674D8"/>
    <w:rsid w:val="00570DEF"/>
    <w:rsid w:val="005735EA"/>
    <w:rsid w:val="0058702C"/>
    <w:rsid w:val="0058737E"/>
    <w:rsid w:val="00596B5B"/>
    <w:rsid w:val="005A2513"/>
    <w:rsid w:val="005A6038"/>
    <w:rsid w:val="005B6A33"/>
    <w:rsid w:val="005C457E"/>
    <w:rsid w:val="005C618B"/>
    <w:rsid w:val="005C62B8"/>
    <w:rsid w:val="005D1290"/>
    <w:rsid w:val="005E37ED"/>
    <w:rsid w:val="005E3A5F"/>
    <w:rsid w:val="005F27E1"/>
    <w:rsid w:val="005F798F"/>
    <w:rsid w:val="00606701"/>
    <w:rsid w:val="006221EE"/>
    <w:rsid w:val="00622A81"/>
    <w:rsid w:val="00622D23"/>
    <w:rsid w:val="0062582C"/>
    <w:rsid w:val="006357C1"/>
    <w:rsid w:val="0063620D"/>
    <w:rsid w:val="0063667F"/>
    <w:rsid w:val="00642A00"/>
    <w:rsid w:val="00644EE5"/>
    <w:rsid w:val="00647494"/>
    <w:rsid w:val="00647A33"/>
    <w:rsid w:val="006551F4"/>
    <w:rsid w:val="006579C4"/>
    <w:rsid w:val="00682E2F"/>
    <w:rsid w:val="006877F5"/>
    <w:rsid w:val="006900D2"/>
    <w:rsid w:val="00691D1A"/>
    <w:rsid w:val="00695D4A"/>
    <w:rsid w:val="00695E00"/>
    <w:rsid w:val="006A3543"/>
    <w:rsid w:val="006A44DA"/>
    <w:rsid w:val="006A6012"/>
    <w:rsid w:val="006C2F97"/>
    <w:rsid w:val="006C43BB"/>
    <w:rsid w:val="006C5B43"/>
    <w:rsid w:val="006C678B"/>
    <w:rsid w:val="006D09E3"/>
    <w:rsid w:val="006D4268"/>
    <w:rsid w:val="006D58CA"/>
    <w:rsid w:val="006D6E3A"/>
    <w:rsid w:val="006E29D6"/>
    <w:rsid w:val="006E6807"/>
    <w:rsid w:val="006F100D"/>
    <w:rsid w:val="006F12A7"/>
    <w:rsid w:val="006F6C96"/>
    <w:rsid w:val="00700FE9"/>
    <w:rsid w:val="00717765"/>
    <w:rsid w:val="00720656"/>
    <w:rsid w:val="0072325A"/>
    <w:rsid w:val="007243B8"/>
    <w:rsid w:val="00731911"/>
    <w:rsid w:val="007336AD"/>
    <w:rsid w:val="00745579"/>
    <w:rsid w:val="007539C9"/>
    <w:rsid w:val="0075478A"/>
    <w:rsid w:val="00755B39"/>
    <w:rsid w:val="007622A0"/>
    <w:rsid w:val="00771F71"/>
    <w:rsid w:val="00777F4C"/>
    <w:rsid w:val="007813B6"/>
    <w:rsid w:val="00783582"/>
    <w:rsid w:val="00783E4E"/>
    <w:rsid w:val="0078408B"/>
    <w:rsid w:val="00787C3A"/>
    <w:rsid w:val="00791ECE"/>
    <w:rsid w:val="00792FAE"/>
    <w:rsid w:val="007A20FA"/>
    <w:rsid w:val="007B1653"/>
    <w:rsid w:val="007B1C75"/>
    <w:rsid w:val="007B2CD5"/>
    <w:rsid w:val="007D0497"/>
    <w:rsid w:val="007D6489"/>
    <w:rsid w:val="007E6CF9"/>
    <w:rsid w:val="007F488E"/>
    <w:rsid w:val="007F50D6"/>
    <w:rsid w:val="00801532"/>
    <w:rsid w:val="008057CA"/>
    <w:rsid w:val="008100C5"/>
    <w:rsid w:val="00810289"/>
    <w:rsid w:val="00812B86"/>
    <w:rsid w:val="00814212"/>
    <w:rsid w:val="00817C9A"/>
    <w:rsid w:val="00823A81"/>
    <w:rsid w:val="00824232"/>
    <w:rsid w:val="008256CE"/>
    <w:rsid w:val="00830275"/>
    <w:rsid w:val="00841F82"/>
    <w:rsid w:val="008540CD"/>
    <w:rsid w:val="00856383"/>
    <w:rsid w:val="00857779"/>
    <w:rsid w:val="00863CCA"/>
    <w:rsid w:val="008642A6"/>
    <w:rsid w:val="00872833"/>
    <w:rsid w:val="00873045"/>
    <w:rsid w:val="008731E1"/>
    <w:rsid w:val="00880766"/>
    <w:rsid w:val="00883154"/>
    <w:rsid w:val="00884D8F"/>
    <w:rsid w:val="00891FC4"/>
    <w:rsid w:val="00893B75"/>
    <w:rsid w:val="0089667C"/>
    <w:rsid w:val="008A3756"/>
    <w:rsid w:val="008A404C"/>
    <w:rsid w:val="008A6AA5"/>
    <w:rsid w:val="008A7BC3"/>
    <w:rsid w:val="008B154C"/>
    <w:rsid w:val="008B659A"/>
    <w:rsid w:val="008C45CC"/>
    <w:rsid w:val="008C4DF1"/>
    <w:rsid w:val="008C72D0"/>
    <w:rsid w:val="008D2A74"/>
    <w:rsid w:val="008D3D65"/>
    <w:rsid w:val="008D4420"/>
    <w:rsid w:val="008E0FF6"/>
    <w:rsid w:val="008E617A"/>
    <w:rsid w:val="008F1250"/>
    <w:rsid w:val="00900711"/>
    <w:rsid w:val="0090498D"/>
    <w:rsid w:val="00916B14"/>
    <w:rsid w:val="00916B64"/>
    <w:rsid w:val="009213F2"/>
    <w:rsid w:val="00923BB0"/>
    <w:rsid w:val="0092478A"/>
    <w:rsid w:val="00935431"/>
    <w:rsid w:val="00941D48"/>
    <w:rsid w:val="00942389"/>
    <w:rsid w:val="009435DF"/>
    <w:rsid w:val="00945CD3"/>
    <w:rsid w:val="00964135"/>
    <w:rsid w:val="00992294"/>
    <w:rsid w:val="009A083C"/>
    <w:rsid w:val="009A2617"/>
    <w:rsid w:val="009B229A"/>
    <w:rsid w:val="009B6CB1"/>
    <w:rsid w:val="009C4F4D"/>
    <w:rsid w:val="009D47B7"/>
    <w:rsid w:val="009F0061"/>
    <w:rsid w:val="009F37DE"/>
    <w:rsid w:val="009F41B4"/>
    <w:rsid w:val="009F4910"/>
    <w:rsid w:val="00A0467F"/>
    <w:rsid w:val="00A04690"/>
    <w:rsid w:val="00A149C0"/>
    <w:rsid w:val="00A20700"/>
    <w:rsid w:val="00A26EC3"/>
    <w:rsid w:val="00A35258"/>
    <w:rsid w:val="00A359C4"/>
    <w:rsid w:val="00A42239"/>
    <w:rsid w:val="00A549E7"/>
    <w:rsid w:val="00A55ABE"/>
    <w:rsid w:val="00A62542"/>
    <w:rsid w:val="00A67815"/>
    <w:rsid w:val="00A726B6"/>
    <w:rsid w:val="00A73D96"/>
    <w:rsid w:val="00A7773E"/>
    <w:rsid w:val="00A92081"/>
    <w:rsid w:val="00A942B5"/>
    <w:rsid w:val="00A951AC"/>
    <w:rsid w:val="00AA026A"/>
    <w:rsid w:val="00AB656C"/>
    <w:rsid w:val="00AC1BF5"/>
    <w:rsid w:val="00AC3CEF"/>
    <w:rsid w:val="00AC442A"/>
    <w:rsid w:val="00AD282C"/>
    <w:rsid w:val="00AD2E2C"/>
    <w:rsid w:val="00AD37D2"/>
    <w:rsid w:val="00AE0026"/>
    <w:rsid w:val="00AE2972"/>
    <w:rsid w:val="00AE6CD1"/>
    <w:rsid w:val="00AE7EBE"/>
    <w:rsid w:val="00AF39A0"/>
    <w:rsid w:val="00AF4AED"/>
    <w:rsid w:val="00AF7038"/>
    <w:rsid w:val="00AF76EE"/>
    <w:rsid w:val="00AF7CAC"/>
    <w:rsid w:val="00B132A5"/>
    <w:rsid w:val="00B14B64"/>
    <w:rsid w:val="00B156B3"/>
    <w:rsid w:val="00B161FD"/>
    <w:rsid w:val="00B229EF"/>
    <w:rsid w:val="00B2326D"/>
    <w:rsid w:val="00B30ACC"/>
    <w:rsid w:val="00B34E11"/>
    <w:rsid w:val="00B364FC"/>
    <w:rsid w:val="00B427EE"/>
    <w:rsid w:val="00B553FB"/>
    <w:rsid w:val="00B55476"/>
    <w:rsid w:val="00B653DB"/>
    <w:rsid w:val="00B70E29"/>
    <w:rsid w:val="00B7698E"/>
    <w:rsid w:val="00B834A4"/>
    <w:rsid w:val="00B86783"/>
    <w:rsid w:val="00B86BBA"/>
    <w:rsid w:val="00B8743E"/>
    <w:rsid w:val="00B90EA4"/>
    <w:rsid w:val="00B928E6"/>
    <w:rsid w:val="00BA02C9"/>
    <w:rsid w:val="00BA0E48"/>
    <w:rsid w:val="00BA2469"/>
    <w:rsid w:val="00BA53FA"/>
    <w:rsid w:val="00BA5623"/>
    <w:rsid w:val="00BB0A78"/>
    <w:rsid w:val="00BB270C"/>
    <w:rsid w:val="00BC43D7"/>
    <w:rsid w:val="00BC4B49"/>
    <w:rsid w:val="00BC62CE"/>
    <w:rsid w:val="00BD080C"/>
    <w:rsid w:val="00BD41D7"/>
    <w:rsid w:val="00BD4404"/>
    <w:rsid w:val="00BE0E03"/>
    <w:rsid w:val="00BE3FFB"/>
    <w:rsid w:val="00BE446E"/>
    <w:rsid w:val="00BF2A5B"/>
    <w:rsid w:val="00BF5C1C"/>
    <w:rsid w:val="00BF7258"/>
    <w:rsid w:val="00C040DF"/>
    <w:rsid w:val="00C06932"/>
    <w:rsid w:val="00C0752A"/>
    <w:rsid w:val="00C10EE9"/>
    <w:rsid w:val="00C124FE"/>
    <w:rsid w:val="00C3190E"/>
    <w:rsid w:val="00C47581"/>
    <w:rsid w:val="00C51395"/>
    <w:rsid w:val="00C527D0"/>
    <w:rsid w:val="00C61107"/>
    <w:rsid w:val="00C63B1C"/>
    <w:rsid w:val="00C63F2E"/>
    <w:rsid w:val="00C71145"/>
    <w:rsid w:val="00C7138D"/>
    <w:rsid w:val="00C7196F"/>
    <w:rsid w:val="00C71EA4"/>
    <w:rsid w:val="00C72EFC"/>
    <w:rsid w:val="00C755C7"/>
    <w:rsid w:val="00C768B4"/>
    <w:rsid w:val="00C80DC0"/>
    <w:rsid w:val="00C82987"/>
    <w:rsid w:val="00C833E5"/>
    <w:rsid w:val="00C86F12"/>
    <w:rsid w:val="00C936E7"/>
    <w:rsid w:val="00CA07CA"/>
    <w:rsid w:val="00CA6C25"/>
    <w:rsid w:val="00CA7067"/>
    <w:rsid w:val="00CB798D"/>
    <w:rsid w:val="00CD00E4"/>
    <w:rsid w:val="00CD7D20"/>
    <w:rsid w:val="00CE386B"/>
    <w:rsid w:val="00CE6581"/>
    <w:rsid w:val="00CF7FD5"/>
    <w:rsid w:val="00D00625"/>
    <w:rsid w:val="00D139EC"/>
    <w:rsid w:val="00D236AB"/>
    <w:rsid w:val="00D24962"/>
    <w:rsid w:val="00D24F76"/>
    <w:rsid w:val="00D30B25"/>
    <w:rsid w:val="00D30C7E"/>
    <w:rsid w:val="00D3490F"/>
    <w:rsid w:val="00D37E1A"/>
    <w:rsid w:val="00D448AB"/>
    <w:rsid w:val="00D468DD"/>
    <w:rsid w:val="00D54ABE"/>
    <w:rsid w:val="00D56D24"/>
    <w:rsid w:val="00D60798"/>
    <w:rsid w:val="00D608D9"/>
    <w:rsid w:val="00D62ABB"/>
    <w:rsid w:val="00D643C2"/>
    <w:rsid w:val="00D65480"/>
    <w:rsid w:val="00D66B3A"/>
    <w:rsid w:val="00D6758F"/>
    <w:rsid w:val="00D71F91"/>
    <w:rsid w:val="00D8449A"/>
    <w:rsid w:val="00D857DE"/>
    <w:rsid w:val="00D90F2B"/>
    <w:rsid w:val="00D9692D"/>
    <w:rsid w:val="00D969F9"/>
    <w:rsid w:val="00D973C7"/>
    <w:rsid w:val="00DA26A4"/>
    <w:rsid w:val="00DA2ED0"/>
    <w:rsid w:val="00DA6D57"/>
    <w:rsid w:val="00DA726C"/>
    <w:rsid w:val="00DB0012"/>
    <w:rsid w:val="00DB0A73"/>
    <w:rsid w:val="00DB1184"/>
    <w:rsid w:val="00DC66E6"/>
    <w:rsid w:val="00DD0769"/>
    <w:rsid w:val="00DD2BE9"/>
    <w:rsid w:val="00DD3867"/>
    <w:rsid w:val="00DE797A"/>
    <w:rsid w:val="00DF2CCB"/>
    <w:rsid w:val="00DF56E0"/>
    <w:rsid w:val="00DF5FE4"/>
    <w:rsid w:val="00E0033E"/>
    <w:rsid w:val="00E023E1"/>
    <w:rsid w:val="00E0240E"/>
    <w:rsid w:val="00E03806"/>
    <w:rsid w:val="00E0496E"/>
    <w:rsid w:val="00E1682F"/>
    <w:rsid w:val="00E20B50"/>
    <w:rsid w:val="00E222A3"/>
    <w:rsid w:val="00E23980"/>
    <w:rsid w:val="00E24C32"/>
    <w:rsid w:val="00E30790"/>
    <w:rsid w:val="00E34A2F"/>
    <w:rsid w:val="00E41222"/>
    <w:rsid w:val="00E567BF"/>
    <w:rsid w:val="00E57E3A"/>
    <w:rsid w:val="00E678D3"/>
    <w:rsid w:val="00E67DDF"/>
    <w:rsid w:val="00E7567A"/>
    <w:rsid w:val="00E81E7C"/>
    <w:rsid w:val="00E82433"/>
    <w:rsid w:val="00E90B84"/>
    <w:rsid w:val="00EA1980"/>
    <w:rsid w:val="00EA3F33"/>
    <w:rsid w:val="00EB2369"/>
    <w:rsid w:val="00EB624B"/>
    <w:rsid w:val="00ED609A"/>
    <w:rsid w:val="00EE1C96"/>
    <w:rsid w:val="00EF4203"/>
    <w:rsid w:val="00EF7FB5"/>
    <w:rsid w:val="00F00E54"/>
    <w:rsid w:val="00F035A9"/>
    <w:rsid w:val="00F0677D"/>
    <w:rsid w:val="00F10D87"/>
    <w:rsid w:val="00F11C7B"/>
    <w:rsid w:val="00F12E39"/>
    <w:rsid w:val="00F12E41"/>
    <w:rsid w:val="00F21EA4"/>
    <w:rsid w:val="00F23158"/>
    <w:rsid w:val="00F24B9B"/>
    <w:rsid w:val="00F255FF"/>
    <w:rsid w:val="00F301A3"/>
    <w:rsid w:val="00F3188E"/>
    <w:rsid w:val="00F40060"/>
    <w:rsid w:val="00F45B97"/>
    <w:rsid w:val="00F5081F"/>
    <w:rsid w:val="00F5148A"/>
    <w:rsid w:val="00F6278A"/>
    <w:rsid w:val="00F67E6D"/>
    <w:rsid w:val="00F72133"/>
    <w:rsid w:val="00F75207"/>
    <w:rsid w:val="00F80227"/>
    <w:rsid w:val="00F8243A"/>
    <w:rsid w:val="00F86161"/>
    <w:rsid w:val="00F96CEF"/>
    <w:rsid w:val="00FA48C2"/>
    <w:rsid w:val="00FA4920"/>
    <w:rsid w:val="00FA494D"/>
    <w:rsid w:val="00FA695C"/>
    <w:rsid w:val="00FB2044"/>
    <w:rsid w:val="00FB2A59"/>
    <w:rsid w:val="00FB4E01"/>
    <w:rsid w:val="00FB4EAC"/>
    <w:rsid w:val="00FB522E"/>
    <w:rsid w:val="00FC46A0"/>
    <w:rsid w:val="00FD13CF"/>
    <w:rsid w:val="00FE17CC"/>
    <w:rsid w:val="00FE3C6D"/>
    <w:rsid w:val="00FE4395"/>
    <w:rsid w:val="01750152"/>
    <w:rsid w:val="07F85660"/>
    <w:rsid w:val="09DA4E6B"/>
    <w:rsid w:val="12206E67"/>
    <w:rsid w:val="137F6895"/>
    <w:rsid w:val="162A01A1"/>
    <w:rsid w:val="1F17017D"/>
    <w:rsid w:val="22BE094A"/>
    <w:rsid w:val="23172C5A"/>
    <w:rsid w:val="28FE0A94"/>
    <w:rsid w:val="2B0726F7"/>
    <w:rsid w:val="2BF7249B"/>
    <w:rsid w:val="32223CEB"/>
    <w:rsid w:val="35930748"/>
    <w:rsid w:val="38FF18A5"/>
    <w:rsid w:val="3DB00899"/>
    <w:rsid w:val="43946DDE"/>
    <w:rsid w:val="461215C6"/>
    <w:rsid w:val="470244D0"/>
    <w:rsid w:val="47026C4C"/>
    <w:rsid w:val="4F5422A9"/>
    <w:rsid w:val="4F741311"/>
    <w:rsid w:val="4F9B72F5"/>
    <w:rsid w:val="51AD4078"/>
    <w:rsid w:val="520027B4"/>
    <w:rsid w:val="53F72040"/>
    <w:rsid w:val="57E62DD4"/>
    <w:rsid w:val="58156C49"/>
    <w:rsid w:val="5FBE5E8E"/>
    <w:rsid w:val="69C074F7"/>
    <w:rsid w:val="6B3F398E"/>
    <w:rsid w:val="6BCE428B"/>
    <w:rsid w:val="74E27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widowControl/>
      <w:spacing w:after="240" w:line="240" w:lineRule="atLeast"/>
      <w:ind w:firstLine="360"/>
    </w:pPr>
    <w:rPr>
      <w:rFonts w:ascii="Garamond" w:hAnsi="Garamond"/>
      <w:bCs/>
      <w:kern w:val="0"/>
      <w:szCs w:val="20"/>
      <w:lang w:bidi="he-IL"/>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autoRedefine/>
    <w:unhideWhenUsed/>
    <w:qFormat/>
    <w:uiPriority w:val="39"/>
    <w:pPr>
      <w:tabs>
        <w:tab w:val="right" w:leader="dot" w:pos="9344"/>
      </w:tabs>
      <w:adjustRightInd w:val="0"/>
      <w:spacing w:line="360" w:lineRule="auto"/>
      <w:ind w:firstLine="560" w:firstLineChars="200"/>
    </w:pPr>
    <w:rPr>
      <w:rFonts w:ascii="宋体" w:hAnsi="Calibri" w:eastAsia="宋体" w:cs="Times New Roman"/>
      <w:sz w:val="28"/>
      <w:szCs w:val="21"/>
    </w:rPr>
  </w:style>
  <w:style w:type="paragraph" w:styleId="8">
    <w:name w:val="Title"/>
    <w:basedOn w:val="1"/>
    <w:next w:val="1"/>
    <w:link w:val="16"/>
    <w:qFormat/>
    <w:uiPriority w:val="10"/>
    <w:pPr>
      <w:spacing w:before="240" w:after="60"/>
      <w:jc w:val="center"/>
      <w:outlineLvl w:val="0"/>
    </w:pPr>
    <w:rPr>
      <w:rFonts w:eastAsia="宋体" w:asciiTheme="majorHAnsi" w:hAnsiTheme="majorHAnsi" w:cstheme="majorBidi"/>
      <w:b/>
      <w:bCs/>
      <w:sz w:val="32"/>
      <w:szCs w:val="32"/>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semiHidden/>
    <w:unhideWhenUsed/>
    <w:qFormat/>
    <w:uiPriority w:val="99"/>
    <w:rPr>
      <w:color w:val="954F72" w:themeColor="followedHyperlink"/>
      <w:u w:val="single"/>
      <w14:textFill>
        <w14:solidFill>
          <w14:schemeClr w14:val="folHlink"/>
        </w14:solidFill>
      </w14:textFill>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customStyle="1" w:styleId="14">
    <w:name w:val="页眉 字符"/>
    <w:basedOn w:val="11"/>
    <w:link w:val="6"/>
    <w:qFormat/>
    <w:uiPriority w:val="99"/>
    <w:rPr>
      <w:sz w:val="18"/>
      <w:szCs w:val="18"/>
    </w:rPr>
  </w:style>
  <w:style w:type="character" w:customStyle="1" w:styleId="15">
    <w:name w:val="页脚 字符"/>
    <w:basedOn w:val="11"/>
    <w:link w:val="5"/>
    <w:qFormat/>
    <w:uiPriority w:val="99"/>
    <w:rPr>
      <w:sz w:val="18"/>
      <w:szCs w:val="18"/>
    </w:rPr>
  </w:style>
  <w:style w:type="character" w:customStyle="1" w:styleId="16">
    <w:name w:val="标题 字符"/>
    <w:basedOn w:val="11"/>
    <w:link w:val="8"/>
    <w:qFormat/>
    <w:uiPriority w:val="10"/>
    <w:rPr>
      <w:rFonts w:eastAsia="宋体" w:asciiTheme="majorHAnsi" w:hAnsiTheme="majorHAnsi" w:cstheme="majorBidi"/>
      <w:b/>
      <w:bCs/>
      <w:sz w:val="32"/>
      <w:szCs w:val="32"/>
    </w:rPr>
  </w:style>
  <w:style w:type="character" w:customStyle="1" w:styleId="17">
    <w:name w:val="标题 1 字符"/>
    <w:basedOn w:val="11"/>
    <w:link w:val="2"/>
    <w:qFormat/>
    <w:uiPriority w:val="9"/>
    <w:rPr>
      <w:b/>
      <w:bCs/>
      <w:kern w:val="44"/>
      <w:sz w:val="44"/>
      <w:szCs w:val="44"/>
    </w:rPr>
  </w:style>
  <w:style w:type="paragraph" w:customStyle="1" w:styleId="18">
    <w:name w:val="列出段落1"/>
    <w:basedOn w:val="1"/>
    <w:qFormat/>
    <w:uiPriority w:val="34"/>
    <w:pPr>
      <w:ind w:firstLine="420" w:firstLineChars="200"/>
    </w:pPr>
  </w:style>
  <w:style w:type="character" w:customStyle="1" w:styleId="19">
    <w:name w:val="标题 2 字符"/>
    <w:basedOn w:val="11"/>
    <w:link w:val="3"/>
    <w:qFormat/>
    <w:uiPriority w:val="9"/>
    <w:rPr>
      <w:rFonts w:asciiTheme="majorHAnsi" w:hAnsiTheme="majorHAnsi" w:eastAsiaTheme="majorEastAsia" w:cstheme="majorBidi"/>
      <w:b/>
      <w:bCs/>
      <w:sz w:val="32"/>
      <w:szCs w:val="32"/>
    </w:rPr>
  </w:style>
  <w:style w:type="paragraph" w:customStyle="1" w:styleId="20">
    <w:name w:val="段"/>
    <w:link w:val="2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1">
    <w:name w:val="段 Char"/>
    <w:link w:val="20"/>
    <w:qFormat/>
    <w:uiPriority w:val="0"/>
    <w:rPr>
      <w:rFonts w:ascii="宋体" w:hAnsi="Times New Roman" w:eastAsia="宋体" w:cs="Times New Roman"/>
      <w:kern w:val="0"/>
      <w:szCs w:val="20"/>
    </w:rPr>
  </w:style>
  <w:style w:type="paragraph" w:customStyle="1" w:styleId="22">
    <w:name w:val="列出段落2"/>
    <w:basedOn w:val="1"/>
    <w:qFormat/>
    <w:uiPriority w:val="99"/>
    <w:pPr>
      <w:ind w:firstLine="420" w:firstLineChars="200"/>
    </w:pPr>
  </w:style>
  <w:style w:type="paragraph" w:customStyle="1" w:styleId="23">
    <w:name w:val="一级条标题"/>
    <w:next w:val="20"/>
    <w:link w:val="28"/>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4">
    <w:name w:val="章标题"/>
    <w:next w:val="20"/>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5">
    <w:name w:val="二级条标题"/>
    <w:basedOn w:val="23"/>
    <w:next w:val="20"/>
    <w:link w:val="27"/>
    <w:qFormat/>
    <w:uiPriority w:val="0"/>
    <w:pPr>
      <w:numPr>
        <w:ilvl w:val="2"/>
      </w:numPr>
      <w:tabs>
        <w:tab w:val="left" w:pos="360"/>
      </w:tabs>
      <w:spacing w:before="50" w:after="50"/>
      <w:outlineLvl w:val="3"/>
    </w:pPr>
  </w:style>
  <w:style w:type="paragraph" w:customStyle="1" w:styleId="26">
    <w:name w:val="三级条标题"/>
    <w:basedOn w:val="25"/>
    <w:next w:val="20"/>
    <w:qFormat/>
    <w:uiPriority w:val="0"/>
    <w:pPr>
      <w:numPr>
        <w:ilvl w:val="3"/>
      </w:numPr>
      <w:outlineLvl w:val="4"/>
    </w:pPr>
  </w:style>
  <w:style w:type="character" w:customStyle="1" w:styleId="27">
    <w:name w:val="二级条标题 Char Char"/>
    <w:link w:val="25"/>
    <w:qFormat/>
    <w:uiPriority w:val="0"/>
    <w:rPr>
      <w:rFonts w:ascii="黑体" w:hAnsi="Times New Roman" w:eastAsia="黑体" w:cs="Times New Roman"/>
      <w:sz w:val="21"/>
      <w:szCs w:val="21"/>
    </w:rPr>
  </w:style>
  <w:style w:type="character" w:customStyle="1" w:styleId="28">
    <w:name w:val="一级条标题 Char Char"/>
    <w:link w:val="23"/>
    <w:qFormat/>
    <w:uiPriority w:val="0"/>
    <w:rPr>
      <w:rFonts w:ascii="黑体" w:hAnsi="Times New Roman" w:eastAsia="黑体" w:cs="Times New Roman"/>
      <w:sz w:val="21"/>
      <w:szCs w:val="21"/>
    </w:rPr>
  </w:style>
  <w:style w:type="paragraph" w:styleId="29">
    <w:name w:val="List Paragraph"/>
    <w:basedOn w:val="1"/>
    <w:qFormat/>
    <w:uiPriority w:val="99"/>
    <w:pPr>
      <w:ind w:firstLine="420" w:firstLineChars="200"/>
    </w:pPr>
  </w:style>
  <w:style w:type="paragraph" w:customStyle="1" w:styleId="3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E6ADE5-FC04-459E-B7C6-A28820468FC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3358</Words>
  <Characters>3549</Characters>
  <Lines>39</Lines>
  <Paragraphs>11</Paragraphs>
  <TotalTime>1256</TotalTime>
  <ScaleCrop>false</ScaleCrop>
  <LinksUpToDate>false</LinksUpToDate>
  <CharactersWithSpaces>3712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2020-10-28T01:22:00Z</dcterms:created>
  <dc:creator>ZQY</dc:creator>
  <cp:lastModifiedBy>编辑</cp:lastModifiedBy>
  <cp:lastPrinted>2022-09-06T08:27:00Z</cp:lastPrinted>
  <dcterms:modified xsi:type="dcterms:W3CDTF">2025-07-24T07:56:50Z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6E21E9ABE2274362907966193E154D81_13</vt:lpwstr>
  </property>
</Properties>
</file>